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rPr>
          <w:rFonts w:hint="eastAsia" w:ascii="仿宋" w:hAnsi="仿宋" w:eastAsia="仿宋" w:cs="仿宋"/>
        </w:rPr>
      </w:pPr>
    </w:p>
    <w:p>
      <w:pPr>
        <w:pStyle w:val="26"/>
        <w:jc w:val="center"/>
        <w:rPr>
          <w:rFonts w:hint="eastAsia" w:ascii="仿宋" w:hAnsi="仿宋" w:eastAsia="仿宋" w:cs="仿宋"/>
          <w:b/>
          <w:bCs/>
          <w:sz w:val="56"/>
          <w:szCs w:val="44"/>
        </w:rPr>
      </w:pPr>
      <w:r>
        <w:rPr>
          <w:rFonts w:hint="eastAsia" w:ascii="仿宋" w:hAnsi="仿宋" w:eastAsia="仿宋" w:cs="仿宋"/>
          <w:b/>
          <w:bCs/>
          <w:sz w:val="56"/>
          <w:szCs w:val="44"/>
          <w:lang w:val="en-US" w:eastAsia="zh-CN"/>
        </w:rPr>
        <w:t>四川成渝高速公路股份有限公司成渝分公司成都管理处车辆定点维修采购</w:t>
      </w:r>
      <w:r>
        <w:rPr>
          <w:rFonts w:hint="eastAsia" w:ascii="仿宋" w:hAnsi="仿宋" w:eastAsia="仿宋" w:cs="仿宋"/>
          <w:b/>
          <w:bCs/>
          <w:sz w:val="56"/>
          <w:szCs w:val="44"/>
        </w:rPr>
        <w:t>项目</w:t>
      </w:r>
    </w:p>
    <w:p>
      <w:pPr>
        <w:pStyle w:val="26"/>
        <w:rPr>
          <w:rFonts w:hint="eastAsia" w:ascii="仿宋" w:hAnsi="仿宋" w:eastAsia="仿宋" w:cs="仿宋"/>
        </w:rPr>
      </w:pPr>
    </w:p>
    <w:p>
      <w:pPr>
        <w:pStyle w:val="26"/>
        <w:rPr>
          <w:rFonts w:hint="eastAsia" w:ascii="仿宋" w:hAnsi="仿宋" w:eastAsia="仿宋" w:cs="仿宋"/>
        </w:rPr>
      </w:pPr>
    </w:p>
    <w:p>
      <w:pPr>
        <w:jc w:val="center"/>
        <w:rPr>
          <w:rFonts w:hint="eastAsia" w:ascii="仿宋" w:hAnsi="仿宋" w:eastAsia="仿宋" w:cs="仿宋"/>
          <w:b/>
          <w:sz w:val="72"/>
          <w:szCs w:val="72"/>
        </w:rPr>
      </w:pPr>
      <w:r>
        <w:rPr>
          <w:rFonts w:hint="eastAsia" w:ascii="仿宋" w:hAnsi="仿宋" w:eastAsia="仿宋" w:cs="仿宋"/>
          <w:b/>
          <w:sz w:val="72"/>
          <w:szCs w:val="72"/>
        </w:rPr>
        <w:t>比</w:t>
      </w:r>
    </w:p>
    <w:p>
      <w:pPr>
        <w:jc w:val="center"/>
        <w:rPr>
          <w:rFonts w:hint="eastAsia" w:ascii="仿宋" w:hAnsi="仿宋" w:eastAsia="仿宋" w:cs="仿宋"/>
          <w:b/>
          <w:sz w:val="72"/>
          <w:szCs w:val="72"/>
        </w:rPr>
      </w:pPr>
    </w:p>
    <w:p>
      <w:pPr>
        <w:jc w:val="center"/>
        <w:rPr>
          <w:rFonts w:hint="eastAsia" w:ascii="仿宋" w:hAnsi="仿宋" w:eastAsia="仿宋" w:cs="仿宋"/>
          <w:b/>
          <w:sz w:val="72"/>
          <w:szCs w:val="72"/>
        </w:rPr>
      </w:pPr>
      <w:r>
        <w:rPr>
          <w:rFonts w:hint="eastAsia" w:ascii="仿宋" w:hAnsi="仿宋" w:eastAsia="仿宋" w:cs="仿宋"/>
          <w:b/>
          <w:sz w:val="72"/>
          <w:szCs w:val="72"/>
        </w:rPr>
        <w:t xml:space="preserve">选 </w:t>
      </w:r>
    </w:p>
    <w:p>
      <w:pPr>
        <w:jc w:val="center"/>
        <w:rPr>
          <w:rFonts w:hint="eastAsia" w:ascii="仿宋" w:hAnsi="仿宋" w:eastAsia="仿宋" w:cs="仿宋"/>
          <w:b/>
          <w:sz w:val="72"/>
          <w:szCs w:val="72"/>
        </w:rPr>
      </w:pPr>
    </w:p>
    <w:p>
      <w:pPr>
        <w:jc w:val="center"/>
        <w:rPr>
          <w:rFonts w:hint="eastAsia" w:ascii="仿宋" w:hAnsi="仿宋" w:eastAsia="仿宋" w:cs="仿宋"/>
          <w:b/>
          <w:sz w:val="72"/>
          <w:szCs w:val="72"/>
        </w:rPr>
      </w:pPr>
      <w:r>
        <w:rPr>
          <w:rFonts w:hint="eastAsia" w:ascii="仿宋" w:hAnsi="仿宋" w:eastAsia="仿宋" w:cs="仿宋"/>
          <w:b/>
          <w:sz w:val="72"/>
          <w:szCs w:val="72"/>
        </w:rPr>
        <w:t>文</w:t>
      </w:r>
    </w:p>
    <w:p>
      <w:pPr>
        <w:jc w:val="center"/>
        <w:rPr>
          <w:rFonts w:hint="eastAsia" w:ascii="仿宋" w:hAnsi="仿宋" w:eastAsia="仿宋" w:cs="仿宋"/>
          <w:b/>
          <w:sz w:val="72"/>
          <w:szCs w:val="72"/>
        </w:rPr>
      </w:pPr>
    </w:p>
    <w:p>
      <w:pPr>
        <w:jc w:val="center"/>
        <w:rPr>
          <w:rFonts w:hint="eastAsia" w:ascii="仿宋" w:hAnsi="仿宋" w:eastAsia="仿宋" w:cs="仿宋"/>
          <w:b/>
          <w:sz w:val="72"/>
          <w:szCs w:val="72"/>
        </w:rPr>
      </w:pPr>
      <w:r>
        <w:rPr>
          <w:rFonts w:hint="eastAsia" w:ascii="仿宋" w:hAnsi="仿宋" w:eastAsia="仿宋" w:cs="仿宋"/>
          <w:b/>
          <w:sz w:val="72"/>
          <w:szCs w:val="72"/>
        </w:rPr>
        <w:t>件</w:t>
      </w:r>
    </w:p>
    <w:p>
      <w:pPr>
        <w:rPr>
          <w:rFonts w:hint="eastAsia" w:ascii="仿宋" w:hAnsi="仿宋" w:eastAsia="仿宋" w:cs="仿宋"/>
          <w:sz w:val="32"/>
          <w:szCs w:val="32"/>
        </w:rPr>
      </w:pPr>
    </w:p>
    <w:p>
      <w:pPr>
        <w:spacing w:line="400" w:lineRule="exact"/>
        <w:jc w:val="center"/>
        <w:rPr>
          <w:rFonts w:hint="eastAsia" w:ascii="仿宋" w:hAnsi="仿宋" w:eastAsia="仿宋" w:cs="仿宋"/>
          <w:sz w:val="32"/>
          <w:lang w:eastAsia="zh-CN"/>
        </w:rPr>
        <w:sectPr>
          <w:headerReference r:id="rId3" w:type="default"/>
          <w:footerReference r:id="rId5" w:type="default"/>
          <w:headerReference r:id="rId4" w:type="even"/>
          <w:footerReference r:id="rId6" w:type="even"/>
          <w:pgSz w:w="11907" w:h="16840"/>
          <w:pgMar w:top="1418" w:right="1467" w:bottom="1418" w:left="1560" w:header="851" w:footer="992" w:gutter="0"/>
          <w:pgNumType w:start="1"/>
          <w:cols w:space="720" w:num="1"/>
          <w:docGrid w:type="lines" w:linePitch="312" w:charSpace="0"/>
        </w:sectPr>
      </w:pPr>
      <w:r>
        <w:rPr>
          <w:rFonts w:hint="eastAsia" w:ascii="仿宋" w:hAnsi="仿宋" w:eastAsia="仿宋" w:cs="仿宋"/>
          <w:b/>
          <w:sz w:val="30"/>
          <w:szCs w:val="30"/>
          <w:lang w:val="en-US" w:eastAsia="zh-CN"/>
        </w:rPr>
        <w:t>比选人：四川成渝高速公里股份有限公司成渝分公司成都管理处</w:t>
      </w:r>
      <w:r>
        <w:rPr>
          <w:rFonts w:hint="eastAsia" w:ascii="仿宋" w:hAnsi="仿宋" w:eastAsia="仿宋" w:cs="仿宋"/>
          <w:b/>
          <w:sz w:val="30"/>
          <w:szCs w:val="30"/>
        </w:rPr>
        <w:t>20</w:t>
      </w:r>
      <w:r>
        <w:rPr>
          <w:rFonts w:hint="eastAsia" w:ascii="仿宋" w:hAnsi="仿宋" w:eastAsia="仿宋" w:cs="仿宋"/>
          <w:b/>
          <w:sz w:val="30"/>
          <w:szCs w:val="30"/>
          <w:lang w:val="en-US" w:eastAsia="zh-CN"/>
        </w:rPr>
        <w:t>21</w:t>
      </w:r>
      <w:r>
        <w:rPr>
          <w:rFonts w:hint="eastAsia" w:ascii="仿宋" w:hAnsi="仿宋" w:eastAsia="仿宋" w:cs="仿宋"/>
          <w:b/>
          <w:bCs/>
          <w:sz w:val="32"/>
          <w:szCs w:val="32"/>
          <w:lang w:val="zh-CN"/>
        </w:rPr>
        <w:t>年</w:t>
      </w:r>
      <w:r>
        <w:rPr>
          <w:rFonts w:hint="eastAsia" w:ascii="仿宋" w:hAnsi="仿宋" w:eastAsia="仿宋" w:cs="仿宋"/>
          <w:b/>
          <w:bCs/>
          <w:sz w:val="32"/>
          <w:szCs w:val="32"/>
          <w:lang w:val="en-US" w:eastAsia="zh-CN"/>
        </w:rPr>
        <w:t>01</w:t>
      </w:r>
      <w:r>
        <w:rPr>
          <w:rFonts w:hint="eastAsia" w:ascii="仿宋" w:hAnsi="仿宋" w:eastAsia="仿宋" w:cs="仿宋"/>
          <w:b/>
          <w:bCs/>
          <w:sz w:val="32"/>
          <w:szCs w:val="32"/>
          <w:lang w:val="zh-CN"/>
        </w:rPr>
        <w:t>月</w:t>
      </w:r>
    </w:p>
    <w:p>
      <w:pPr>
        <w:pStyle w:val="4"/>
        <w:snapToGrid w:val="0"/>
        <w:spacing w:beforeLines="100" w:afterLines="100" w:line="240" w:lineRule="auto"/>
        <w:jc w:val="center"/>
        <w:rPr>
          <w:rFonts w:hint="eastAsia" w:ascii="仿宋" w:hAnsi="仿宋" w:eastAsia="仿宋" w:cs="仿宋"/>
          <w:bCs w:val="0"/>
        </w:rPr>
      </w:pPr>
      <w:bookmarkStart w:id="0" w:name="_Toc477957400"/>
    </w:p>
    <w:p>
      <w:pPr>
        <w:pStyle w:val="4"/>
        <w:snapToGrid w:val="0"/>
        <w:spacing w:beforeLines="100" w:afterLines="100" w:line="240" w:lineRule="auto"/>
        <w:jc w:val="center"/>
        <w:rPr>
          <w:rFonts w:hint="eastAsia" w:ascii="仿宋" w:hAnsi="仿宋" w:eastAsia="仿宋" w:cs="仿宋"/>
          <w:bCs w:val="0"/>
        </w:rPr>
      </w:pPr>
      <w:r>
        <w:rPr>
          <w:rFonts w:hint="eastAsia" w:ascii="仿宋" w:hAnsi="仿宋" w:eastAsia="仿宋" w:cs="仿宋"/>
          <w:bCs w:val="0"/>
        </w:rPr>
        <w:t>目   录</w:t>
      </w:r>
      <w:bookmarkEnd w:id="0"/>
    </w:p>
    <w:p>
      <w:pPr>
        <w:pStyle w:val="15"/>
        <w:tabs>
          <w:tab w:val="right" w:leader="dot" w:pos="8296"/>
        </w:tabs>
        <w:spacing w:line="480" w:lineRule="auto"/>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TOC \o "1-2" \h \z \u</w:instrText>
      </w:r>
      <w:r>
        <w:rPr>
          <w:rFonts w:hint="eastAsia" w:ascii="仿宋" w:hAnsi="仿宋" w:eastAsia="仿宋" w:cs="仿宋"/>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"_Toc477957401" </w:instrText>
      </w:r>
      <w:r>
        <w:rPr>
          <w:rFonts w:hint="eastAsia" w:ascii="仿宋" w:hAnsi="仿宋" w:eastAsia="仿宋" w:cs="仿宋"/>
        </w:rPr>
        <w:fldChar w:fldCharType="separate"/>
      </w:r>
      <w:r>
        <w:rPr>
          <w:rStyle w:val="24"/>
          <w:rFonts w:hint="eastAsia" w:ascii="仿宋" w:hAnsi="仿宋" w:eastAsia="仿宋" w:cs="仿宋"/>
          <w:color w:val="auto"/>
          <w:sz w:val="24"/>
        </w:rPr>
        <w:t>第一章比选邀请书</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_Toc477957401 \h </w:instrText>
      </w:r>
      <w:r>
        <w:rPr>
          <w:rFonts w:hint="eastAsia" w:ascii="仿宋" w:hAnsi="仿宋" w:eastAsia="仿宋" w:cs="仿宋"/>
          <w:sz w:val="24"/>
        </w:rPr>
        <w:fldChar w:fldCharType="separate"/>
      </w:r>
      <w:r>
        <w:rPr>
          <w:rFonts w:hint="eastAsia" w:ascii="仿宋" w:hAnsi="仿宋" w:eastAsia="仿宋" w:cs="仿宋"/>
          <w:sz w:val="24"/>
        </w:rPr>
        <w:t>1</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296"/>
        </w:tabs>
        <w:spacing w:line="480" w:lineRule="auto"/>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"_Toc477957402" </w:instrText>
      </w:r>
      <w:r>
        <w:rPr>
          <w:rFonts w:hint="eastAsia" w:ascii="仿宋" w:hAnsi="仿宋" w:eastAsia="仿宋" w:cs="仿宋"/>
        </w:rPr>
        <w:fldChar w:fldCharType="separate"/>
      </w:r>
      <w:r>
        <w:rPr>
          <w:rStyle w:val="24"/>
          <w:rFonts w:hint="eastAsia" w:ascii="仿宋" w:hAnsi="仿宋" w:eastAsia="仿宋" w:cs="仿宋"/>
          <w:color w:val="auto"/>
          <w:sz w:val="24"/>
        </w:rPr>
        <w:t>第二章比选须知前附表及比选须知</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_Toc477957402 \h </w:instrText>
      </w:r>
      <w:r>
        <w:rPr>
          <w:rFonts w:hint="eastAsia" w:ascii="仿宋" w:hAnsi="仿宋" w:eastAsia="仿宋" w:cs="仿宋"/>
          <w:sz w:val="24"/>
        </w:rPr>
        <w:fldChar w:fldCharType="separate"/>
      </w:r>
      <w:r>
        <w:rPr>
          <w:rFonts w:hint="eastAsia" w:ascii="仿宋" w:hAnsi="仿宋" w:eastAsia="仿宋" w:cs="仿宋"/>
          <w:sz w:val="24"/>
        </w:rPr>
        <w:t>2</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296"/>
        </w:tabs>
        <w:spacing w:line="480" w:lineRule="auto"/>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"_Toc477957403" </w:instrText>
      </w:r>
      <w:r>
        <w:rPr>
          <w:rFonts w:hint="eastAsia" w:ascii="仿宋" w:hAnsi="仿宋" w:eastAsia="仿宋" w:cs="仿宋"/>
        </w:rPr>
        <w:fldChar w:fldCharType="separate"/>
      </w:r>
      <w:r>
        <w:rPr>
          <w:rStyle w:val="24"/>
          <w:rFonts w:hint="eastAsia" w:ascii="仿宋" w:hAnsi="仿宋" w:eastAsia="仿宋" w:cs="仿宋"/>
          <w:color w:val="auto"/>
          <w:sz w:val="24"/>
        </w:rPr>
        <w:t>第三章供应商和产品的资格、资质性及</w:t>
      </w:r>
      <w:r>
        <w:rPr>
          <w:rStyle w:val="24"/>
          <w:rFonts w:hint="eastAsia" w:ascii="仿宋" w:hAnsi="仿宋" w:eastAsia="仿宋" w:cs="仿宋"/>
          <w:color w:val="auto"/>
          <w:sz w:val="24"/>
        </w:rPr>
        <w:fldChar w:fldCharType="end"/>
      </w:r>
      <w:r>
        <w:rPr>
          <w:rFonts w:hint="eastAsia" w:ascii="仿宋" w:hAnsi="仿宋" w:eastAsia="仿宋" w:cs="仿宋"/>
        </w:rPr>
        <w:fldChar w:fldCharType="begin"/>
      </w:r>
      <w:r>
        <w:rPr>
          <w:rFonts w:hint="eastAsia" w:ascii="仿宋" w:hAnsi="仿宋" w:eastAsia="仿宋" w:cs="仿宋"/>
        </w:rPr>
        <w:instrText xml:space="preserve"> HYPERLINK \l "_Toc477957404" </w:instrText>
      </w:r>
      <w:r>
        <w:rPr>
          <w:rFonts w:hint="eastAsia" w:ascii="仿宋" w:hAnsi="仿宋" w:eastAsia="仿宋" w:cs="仿宋"/>
        </w:rPr>
        <w:fldChar w:fldCharType="separate"/>
      </w:r>
      <w:r>
        <w:rPr>
          <w:rStyle w:val="24"/>
          <w:rFonts w:hint="eastAsia" w:ascii="仿宋" w:hAnsi="仿宋" w:eastAsia="仿宋" w:cs="仿宋"/>
          <w:color w:val="auto"/>
          <w:sz w:val="24"/>
        </w:rPr>
        <w:t>其他类似效力要求</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_Toc477957404 \h </w:instrText>
      </w:r>
      <w:r>
        <w:rPr>
          <w:rFonts w:hint="eastAsia" w:ascii="仿宋" w:hAnsi="仿宋" w:eastAsia="仿宋" w:cs="仿宋"/>
          <w:sz w:val="24"/>
        </w:rPr>
        <w:fldChar w:fldCharType="separate"/>
      </w:r>
      <w:r>
        <w:rPr>
          <w:rFonts w:hint="eastAsia" w:ascii="仿宋" w:hAnsi="仿宋" w:eastAsia="仿宋" w:cs="仿宋"/>
          <w:sz w:val="24"/>
        </w:rPr>
        <w:t>9</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296"/>
        </w:tabs>
        <w:spacing w:line="480" w:lineRule="auto"/>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"_Toc477957405" </w:instrText>
      </w:r>
      <w:r>
        <w:rPr>
          <w:rFonts w:hint="eastAsia" w:ascii="仿宋" w:hAnsi="仿宋" w:eastAsia="仿宋" w:cs="仿宋"/>
        </w:rPr>
        <w:fldChar w:fldCharType="separate"/>
      </w:r>
      <w:r>
        <w:rPr>
          <w:rStyle w:val="24"/>
          <w:rFonts w:hint="eastAsia" w:ascii="仿宋" w:hAnsi="仿宋" w:eastAsia="仿宋" w:cs="仿宋"/>
          <w:color w:val="auto"/>
          <w:sz w:val="24"/>
        </w:rPr>
        <w:t>第四章供应商应当提供的资格证明材料</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_Toc477957405 \h </w:instrText>
      </w:r>
      <w:r>
        <w:rPr>
          <w:rFonts w:hint="eastAsia" w:ascii="仿宋" w:hAnsi="仿宋" w:eastAsia="仿宋" w:cs="仿宋"/>
          <w:sz w:val="24"/>
        </w:rPr>
        <w:fldChar w:fldCharType="separate"/>
      </w:r>
      <w:r>
        <w:rPr>
          <w:rFonts w:hint="eastAsia" w:ascii="仿宋" w:hAnsi="仿宋" w:eastAsia="仿宋" w:cs="仿宋"/>
          <w:sz w:val="24"/>
        </w:rPr>
        <w:t>10</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296"/>
        </w:tabs>
        <w:spacing w:line="480" w:lineRule="auto"/>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"_Toc477957406" </w:instrText>
      </w:r>
      <w:r>
        <w:rPr>
          <w:rFonts w:hint="eastAsia" w:ascii="仿宋" w:hAnsi="仿宋" w:eastAsia="仿宋" w:cs="仿宋"/>
        </w:rPr>
        <w:fldChar w:fldCharType="separate"/>
      </w:r>
      <w:r>
        <w:rPr>
          <w:rStyle w:val="24"/>
          <w:rFonts w:hint="eastAsia" w:ascii="仿宋" w:hAnsi="仿宋" w:eastAsia="仿宋" w:cs="仿宋"/>
          <w:color w:val="auto"/>
          <w:sz w:val="24"/>
        </w:rPr>
        <w:t>第五章项目概况及要求</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_Toc477957406 \h </w:instrText>
      </w:r>
      <w:r>
        <w:rPr>
          <w:rFonts w:hint="eastAsia" w:ascii="仿宋" w:hAnsi="仿宋" w:eastAsia="仿宋" w:cs="仿宋"/>
          <w:sz w:val="24"/>
        </w:rPr>
        <w:fldChar w:fldCharType="separate"/>
      </w:r>
      <w:r>
        <w:rPr>
          <w:rFonts w:hint="eastAsia" w:ascii="仿宋" w:hAnsi="仿宋" w:eastAsia="仿宋" w:cs="仿宋"/>
          <w:sz w:val="24"/>
        </w:rPr>
        <w:t>11</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296"/>
        </w:tabs>
        <w:spacing w:line="480" w:lineRule="auto"/>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"_Toc477957407" </w:instrText>
      </w:r>
      <w:r>
        <w:rPr>
          <w:rFonts w:hint="eastAsia" w:ascii="仿宋" w:hAnsi="仿宋" w:eastAsia="仿宋" w:cs="仿宋"/>
        </w:rPr>
        <w:fldChar w:fldCharType="separate"/>
      </w:r>
      <w:r>
        <w:rPr>
          <w:rStyle w:val="24"/>
          <w:rFonts w:hint="eastAsia" w:ascii="仿宋" w:hAnsi="仿宋" w:eastAsia="仿宋" w:cs="仿宋"/>
          <w:color w:val="auto"/>
          <w:sz w:val="24"/>
        </w:rPr>
        <w:t>第六章响应文件格式</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_Toc477957407 \h </w:instrText>
      </w:r>
      <w:r>
        <w:rPr>
          <w:rFonts w:hint="eastAsia" w:ascii="仿宋" w:hAnsi="仿宋" w:eastAsia="仿宋" w:cs="仿宋"/>
          <w:sz w:val="24"/>
        </w:rPr>
        <w:fldChar w:fldCharType="separate"/>
      </w:r>
      <w:r>
        <w:rPr>
          <w:rFonts w:hint="eastAsia" w:ascii="仿宋" w:hAnsi="仿宋" w:eastAsia="仿宋" w:cs="仿宋"/>
          <w:sz w:val="24"/>
        </w:rPr>
        <w:t>11</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296"/>
        </w:tabs>
        <w:spacing w:line="480" w:lineRule="auto"/>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"_Toc477957546" </w:instrText>
      </w:r>
      <w:r>
        <w:rPr>
          <w:rFonts w:hint="eastAsia" w:ascii="仿宋" w:hAnsi="仿宋" w:eastAsia="仿宋" w:cs="仿宋"/>
        </w:rPr>
        <w:fldChar w:fldCharType="separate"/>
      </w:r>
      <w:r>
        <w:rPr>
          <w:rStyle w:val="24"/>
          <w:rFonts w:hint="eastAsia" w:ascii="仿宋" w:hAnsi="仿宋" w:eastAsia="仿宋" w:cs="仿宋"/>
          <w:color w:val="auto"/>
          <w:sz w:val="24"/>
        </w:rPr>
        <w:t>第七章评审办法</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_Toc477957546 \h </w:instrText>
      </w:r>
      <w:r>
        <w:rPr>
          <w:rFonts w:hint="eastAsia" w:ascii="仿宋" w:hAnsi="仿宋" w:eastAsia="仿宋" w:cs="仿宋"/>
          <w:sz w:val="24"/>
        </w:rPr>
        <w:fldChar w:fldCharType="separate"/>
      </w:r>
      <w:r>
        <w:rPr>
          <w:rFonts w:hint="eastAsia" w:ascii="仿宋" w:hAnsi="仿宋" w:eastAsia="仿宋" w:cs="仿宋"/>
          <w:sz w:val="24"/>
        </w:rPr>
        <w:t>24</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296"/>
        </w:tabs>
        <w:spacing w:line="480" w:lineRule="auto"/>
        <w:rPr>
          <w:rFonts w:hint="eastAsia" w:ascii="仿宋" w:hAnsi="仿宋" w:eastAsia="仿宋" w:cs="仿宋"/>
          <w:b/>
          <w:sz w:val="24"/>
        </w:rPr>
      </w:pPr>
      <w:r>
        <w:rPr>
          <w:rFonts w:hint="eastAsia" w:ascii="仿宋" w:hAnsi="仿宋" w:eastAsia="仿宋" w:cs="仿宋"/>
        </w:rPr>
        <w:fldChar w:fldCharType="begin"/>
      </w:r>
      <w:r>
        <w:rPr>
          <w:rFonts w:hint="eastAsia" w:ascii="仿宋" w:hAnsi="仿宋" w:eastAsia="仿宋" w:cs="仿宋"/>
        </w:rPr>
        <w:instrText xml:space="preserve"> HYPERLINK \l "_Toc477957547" </w:instrText>
      </w:r>
      <w:r>
        <w:rPr>
          <w:rFonts w:hint="eastAsia" w:ascii="仿宋" w:hAnsi="仿宋" w:eastAsia="仿宋" w:cs="仿宋"/>
        </w:rPr>
        <w:fldChar w:fldCharType="separate"/>
      </w:r>
      <w:r>
        <w:rPr>
          <w:rStyle w:val="24"/>
          <w:rFonts w:hint="eastAsia" w:ascii="仿宋" w:hAnsi="仿宋" w:eastAsia="仿宋" w:cs="仿宋"/>
          <w:color w:val="auto"/>
          <w:sz w:val="24"/>
        </w:rPr>
        <w:t>第八章合同主要条款</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_Toc477957547 \h </w:instrText>
      </w:r>
      <w:r>
        <w:rPr>
          <w:rFonts w:hint="eastAsia" w:ascii="仿宋" w:hAnsi="仿宋" w:eastAsia="仿宋" w:cs="仿宋"/>
          <w:sz w:val="24"/>
        </w:rPr>
        <w:fldChar w:fldCharType="separate"/>
      </w:r>
      <w:r>
        <w:rPr>
          <w:rFonts w:hint="eastAsia" w:ascii="仿宋" w:hAnsi="仿宋" w:eastAsia="仿宋" w:cs="仿宋"/>
          <w:sz w:val="24"/>
        </w:rPr>
        <w:t>30</w:t>
      </w:r>
      <w:r>
        <w:rPr>
          <w:rFonts w:hint="eastAsia" w:ascii="仿宋" w:hAnsi="仿宋" w:eastAsia="仿宋" w:cs="仿宋"/>
          <w:sz w:val="24"/>
        </w:rPr>
        <w:fldChar w:fldCharType="end"/>
      </w:r>
      <w:r>
        <w:rPr>
          <w:rFonts w:hint="eastAsia" w:ascii="仿宋" w:hAnsi="仿宋" w:eastAsia="仿宋" w:cs="仿宋"/>
          <w:sz w:val="24"/>
        </w:rPr>
        <w:fldChar w:fldCharType="end"/>
      </w:r>
    </w:p>
    <w:p>
      <w:pPr>
        <w:rPr>
          <w:rFonts w:hint="eastAsia" w:ascii="仿宋" w:hAnsi="仿宋" w:eastAsia="仿宋" w:cs="仿宋"/>
        </w:rPr>
      </w:pPr>
      <w:r>
        <w:rPr>
          <w:rFonts w:hint="eastAsia" w:ascii="仿宋" w:hAnsi="仿宋" w:eastAsia="仿宋" w:cs="仿宋"/>
        </w:rPr>
        <w:fldChar w:fldCharType="end"/>
      </w:r>
    </w:p>
    <w:p>
      <w:pPr>
        <w:rPr>
          <w:rFonts w:hint="eastAsia" w:ascii="仿宋" w:hAnsi="仿宋" w:eastAsia="仿宋" w:cs="仿宋"/>
        </w:rPr>
      </w:pPr>
    </w:p>
    <w:p>
      <w:pPr>
        <w:rPr>
          <w:rFonts w:hint="eastAsia" w:ascii="仿宋" w:hAnsi="仿宋" w:eastAsia="仿宋" w:cs="仿宋"/>
        </w:rPr>
        <w:sectPr>
          <w:headerReference r:id="rId7" w:type="default"/>
          <w:footerReference r:id="rId8" w:type="default"/>
          <w:footerReference r:id="rId9" w:type="even"/>
          <w:pgSz w:w="11906" w:h="16838"/>
          <w:pgMar w:top="1440" w:right="2125" w:bottom="1440" w:left="1800" w:header="851" w:footer="992" w:gutter="0"/>
          <w:cols w:space="720" w:num="1"/>
          <w:docGrid w:type="lines" w:linePitch="312" w:charSpace="0"/>
        </w:sectPr>
      </w:pPr>
    </w:p>
    <w:p>
      <w:pPr>
        <w:pStyle w:val="4"/>
        <w:snapToGrid w:val="0"/>
        <w:spacing w:beforeLines="100" w:afterLines="100" w:line="240" w:lineRule="auto"/>
        <w:jc w:val="center"/>
        <w:rPr>
          <w:rFonts w:hint="eastAsia" w:ascii="仿宋" w:hAnsi="仿宋" w:eastAsia="仿宋" w:cs="仿宋"/>
          <w:b w:val="0"/>
          <w:bCs w:val="0"/>
          <w:sz w:val="32"/>
          <w:szCs w:val="32"/>
        </w:rPr>
      </w:pPr>
      <w:bookmarkStart w:id="1" w:name="_Toc477957401"/>
      <w:r>
        <w:rPr>
          <w:rFonts w:hint="eastAsia" w:ascii="仿宋" w:hAnsi="仿宋" w:eastAsia="仿宋" w:cs="仿宋"/>
          <w:sz w:val="32"/>
          <w:szCs w:val="32"/>
        </w:rPr>
        <w:t>第一章 比选邀请书</w:t>
      </w:r>
      <w:bookmarkEnd w:id="1"/>
    </w:p>
    <w:p>
      <w:pPr>
        <w:spacing w:line="360" w:lineRule="auto"/>
        <w:rPr>
          <w:rFonts w:hint="eastAsia" w:ascii="仿宋" w:hAnsi="仿宋" w:eastAsia="仿宋" w:cs="仿宋"/>
          <w:sz w:val="24"/>
        </w:rPr>
      </w:pPr>
      <w:r>
        <w:rPr>
          <w:rFonts w:hint="eastAsia" w:ascii="仿宋" w:hAnsi="仿宋" w:eastAsia="仿宋" w:cs="仿宋"/>
          <w:sz w:val="24"/>
        </w:rPr>
        <w:t>各潜在供应商：</w:t>
      </w:r>
    </w:p>
    <w:p>
      <w:pPr>
        <w:spacing w:line="360" w:lineRule="auto"/>
        <w:jc w:val="left"/>
        <w:rPr>
          <w:rFonts w:hint="eastAsia" w:ascii="仿宋" w:hAnsi="仿宋" w:eastAsia="仿宋" w:cs="仿宋"/>
          <w:sz w:val="24"/>
          <w:u w:val="single"/>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w:t>
      </w:r>
      <w:r>
        <w:rPr>
          <w:rFonts w:hint="eastAsia" w:ascii="仿宋" w:hAnsi="仿宋" w:eastAsia="仿宋" w:cs="仿宋"/>
          <w:sz w:val="24"/>
          <w:lang w:eastAsia="zh-CN"/>
        </w:rPr>
        <w:t>四川成渝高速公路股份有限公司成渝分公司成都管理处车辆定点维修采购项目</w:t>
      </w:r>
      <w:r>
        <w:rPr>
          <w:rFonts w:hint="eastAsia" w:ascii="仿宋" w:hAnsi="仿宋" w:eastAsia="仿宋" w:cs="仿宋"/>
          <w:sz w:val="24"/>
        </w:rPr>
        <w:t>”比选</w:t>
      </w:r>
      <w:r>
        <w:rPr>
          <w:rFonts w:hint="eastAsia" w:ascii="仿宋" w:hAnsi="仿宋" w:eastAsia="仿宋" w:cs="仿宋"/>
          <w:sz w:val="24"/>
          <w:lang w:val="en-US" w:eastAsia="zh-CN"/>
        </w:rPr>
        <w:t>项目已由成渝分公司批准实施，现由四川成渝高速公路股份有限公司成渝分公司成都管理处作为招标人，项目业主为四川成渝高速公路股份有限公司成渝分公司</w:t>
      </w:r>
      <w:r>
        <w:rPr>
          <w:rFonts w:hint="eastAsia" w:ascii="仿宋" w:hAnsi="仿宋" w:eastAsia="仿宋" w:cs="仿宋"/>
          <w:sz w:val="24"/>
        </w:rPr>
        <w:t>。现邀请符合条件的供应商参加本次比选。</w:t>
      </w:r>
    </w:p>
    <w:p>
      <w:pPr>
        <w:spacing w:line="360" w:lineRule="auto"/>
        <w:rPr>
          <w:rFonts w:hint="eastAsia" w:ascii="仿宋" w:hAnsi="仿宋" w:eastAsia="仿宋" w:cs="仿宋"/>
          <w:sz w:val="24"/>
        </w:rPr>
      </w:pPr>
      <w:r>
        <w:rPr>
          <w:rFonts w:hint="eastAsia" w:ascii="仿宋" w:hAnsi="仿宋" w:eastAsia="仿宋" w:cs="仿宋"/>
          <w:b/>
          <w:sz w:val="24"/>
        </w:rPr>
        <w:t>一、比选采购内容：</w:t>
      </w:r>
      <w:r>
        <w:rPr>
          <w:rFonts w:hint="eastAsia" w:ascii="仿宋" w:hAnsi="仿宋" w:eastAsia="仿宋" w:cs="仿宋"/>
          <w:sz w:val="24"/>
        </w:rPr>
        <w:t>本采购项目共</w:t>
      </w:r>
      <w:r>
        <w:rPr>
          <w:rFonts w:hint="eastAsia" w:ascii="仿宋" w:hAnsi="仿宋" w:eastAsia="仿宋" w:cs="仿宋"/>
          <w:sz w:val="24"/>
          <w:lang w:val="en-US" w:eastAsia="zh-CN"/>
        </w:rPr>
        <w:t>3</w:t>
      </w:r>
      <w:r>
        <w:rPr>
          <w:rFonts w:hint="eastAsia" w:ascii="仿宋" w:hAnsi="仿宋" w:eastAsia="仿宋" w:cs="仿宋"/>
          <w:sz w:val="24"/>
        </w:rPr>
        <w:t>个</w:t>
      </w:r>
      <w:r>
        <w:rPr>
          <w:rFonts w:hint="eastAsia" w:ascii="仿宋" w:hAnsi="仿宋" w:eastAsia="仿宋" w:cs="仿宋"/>
          <w:sz w:val="24"/>
          <w:lang w:val="en-US" w:eastAsia="zh-CN"/>
        </w:rPr>
        <w:t>标段</w:t>
      </w:r>
      <w:r>
        <w:rPr>
          <w:rFonts w:hint="eastAsia" w:ascii="仿宋" w:hAnsi="仿宋" w:eastAsia="仿宋" w:cs="仿宋"/>
          <w:sz w:val="24"/>
        </w:rPr>
        <w:t>。</w:t>
      </w:r>
    </w:p>
    <w:p>
      <w:pPr>
        <w:pStyle w:val="61"/>
        <w:snapToGrid w:val="0"/>
        <w:spacing w:after="120" w:afterLines="50" w:line="360" w:lineRule="exact"/>
        <w:ind w:firstLine="480"/>
        <w:rPr>
          <w:rFonts w:hint="default" w:ascii="仿宋" w:hAnsi="仿宋" w:eastAsia="仿宋" w:cs="仿宋"/>
          <w:lang w:val="en-US" w:eastAsia="zh-CN"/>
        </w:rPr>
      </w:pPr>
      <w:r>
        <w:rPr>
          <w:rFonts w:hint="eastAsia" w:ascii="仿宋" w:hAnsi="仿宋" w:eastAsia="仿宋" w:cs="仿宋"/>
        </w:rPr>
        <w:t>1、</w:t>
      </w:r>
      <w:r>
        <w:rPr>
          <w:rFonts w:hint="eastAsia" w:ascii="仿宋" w:hAnsi="仿宋" w:eastAsia="仿宋" w:cs="仿宋"/>
          <w:lang w:eastAsia="zh-CN"/>
        </w:rPr>
        <w:t>四川成渝高速公路股份有限公司成渝分公司成都管理处</w:t>
      </w:r>
      <w:r>
        <w:rPr>
          <w:rFonts w:hint="eastAsia" w:ascii="仿宋" w:hAnsi="仿宋" w:eastAsia="仿宋" w:cs="仿宋"/>
        </w:rPr>
        <w:t>现以</w:t>
      </w:r>
      <w:r>
        <w:rPr>
          <w:rFonts w:hint="eastAsia" w:ascii="仿宋" w:hAnsi="仿宋" w:eastAsia="仿宋" w:cs="仿宋"/>
          <w:lang w:val="en-US" w:eastAsia="zh-CN"/>
        </w:rPr>
        <w:t>比选</w:t>
      </w:r>
      <w:r>
        <w:rPr>
          <w:rFonts w:hint="eastAsia" w:ascii="仿宋" w:hAnsi="仿宋" w:eastAsia="仿宋" w:cs="仿宋"/>
        </w:rPr>
        <w:t>的采购方式确定</w:t>
      </w:r>
      <w:r>
        <w:rPr>
          <w:rFonts w:hint="eastAsia" w:ascii="仿宋" w:hAnsi="仿宋" w:eastAsia="仿宋" w:cs="仿宋"/>
          <w:lang w:val="en-US" w:eastAsia="zh-CN"/>
        </w:rPr>
        <w:t>3</w:t>
      </w:r>
      <w:r>
        <w:rPr>
          <w:rFonts w:hint="eastAsia" w:ascii="仿宋" w:hAnsi="仿宋" w:eastAsia="仿宋" w:cs="仿宋"/>
        </w:rPr>
        <w:t>家服务商为其提供年度车辆定点维修保养服务，本项目共分为</w:t>
      </w:r>
      <w:r>
        <w:rPr>
          <w:rFonts w:hint="eastAsia" w:ascii="仿宋" w:hAnsi="仿宋" w:eastAsia="仿宋" w:cs="仿宋"/>
          <w:lang w:val="en-US" w:eastAsia="zh-CN"/>
        </w:rPr>
        <w:t>3</w:t>
      </w:r>
      <w:r>
        <w:rPr>
          <w:rFonts w:hint="eastAsia" w:ascii="仿宋" w:hAnsi="仿宋" w:eastAsia="仿宋" w:cs="仿宋"/>
        </w:rPr>
        <w:t>个</w:t>
      </w:r>
      <w:r>
        <w:rPr>
          <w:rFonts w:hint="eastAsia" w:ascii="仿宋" w:hAnsi="仿宋" w:eastAsia="仿宋" w:cs="仿宋"/>
          <w:lang w:val="en-US" w:eastAsia="zh-CN"/>
        </w:rPr>
        <w:t>标段</w:t>
      </w:r>
      <w:r>
        <w:rPr>
          <w:rFonts w:hint="eastAsia" w:ascii="仿宋" w:hAnsi="仿宋" w:eastAsia="仿宋" w:cs="仿宋"/>
        </w:rPr>
        <w:t>。</w:t>
      </w:r>
      <w:r>
        <w:rPr>
          <w:rFonts w:hint="eastAsia" w:ascii="仿宋" w:hAnsi="仿宋" w:eastAsia="仿宋" w:cs="仿宋"/>
          <w:lang w:val="en-US" w:eastAsia="zh-CN"/>
        </w:rPr>
        <w:t xml:space="preserve">        </w:t>
      </w:r>
    </w:p>
    <w:p>
      <w:pPr>
        <w:pStyle w:val="61"/>
        <w:snapToGrid w:val="0"/>
        <w:spacing w:after="120" w:afterLines="50" w:line="360" w:lineRule="exact"/>
        <w:ind w:firstLine="480"/>
        <w:rPr>
          <w:rFonts w:hint="eastAsia" w:ascii="仿宋" w:hAnsi="仿宋" w:eastAsia="仿宋" w:cs="仿宋"/>
          <w:lang w:val="en-US" w:eastAsia="zh-CN"/>
        </w:rPr>
      </w:pPr>
      <w:r>
        <w:rPr>
          <w:rFonts w:hint="eastAsia" w:ascii="仿宋" w:hAnsi="仿宋" w:eastAsia="仿宋" w:cs="仿宋"/>
          <w:lang w:val="en-US" w:eastAsia="zh-CN"/>
        </w:rPr>
        <w:t>1.1标段1：成渝高速公路成都处</w:t>
      </w:r>
      <w:r>
        <w:rPr>
          <w:rFonts w:hint="eastAsia" w:ascii="仿宋" w:hAnsi="仿宋" w:eastAsia="仿宋" w:cs="仿宋"/>
          <w:b/>
          <w:bCs/>
          <w:u w:val="single"/>
          <w:lang w:val="en-US" w:eastAsia="zh-CN"/>
        </w:rPr>
        <w:t>成都片区</w:t>
      </w:r>
      <w:r>
        <w:rPr>
          <w:rFonts w:hint="eastAsia" w:ascii="仿宋" w:hAnsi="仿宋" w:eastAsia="仿宋" w:cs="仿宋"/>
          <w:lang w:val="en-US" w:eastAsia="zh-CN"/>
        </w:rPr>
        <w:t>车辆定点维修</w:t>
      </w:r>
    </w:p>
    <w:p>
      <w:pPr>
        <w:pStyle w:val="61"/>
        <w:snapToGrid w:val="0"/>
        <w:spacing w:after="120" w:afterLines="50" w:line="360" w:lineRule="exact"/>
        <w:ind w:firstLine="480"/>
        <w:rPr>
          <w:rFonts w:hint="eastAsia" w:ascii="仿宋" w:hAnsi="仿宋" w:eastAsia="仿宋" w:cs="仿宋"/>
          <w:lang w:val="en-US" w:eastAsia="zh-CN"/>
        </w:rPr>
      </w:pPr>
      <w:r>
        <w:rPr>
          <w:rFonts w:hint="eastAsia" w:ascii="仿宋" w:hAnsi="仿宋" w:eastAsia="仿宋" w:cs="仿宋"/>
          <w:lang w:val="en-US" w:eastAsia="zh-CN"/>
        </w:rPr>
        <w:t>1.2标段2：成渝高速公路成都处</w:t>
      </w:r>
      <w:r>
        <w:rPr>
          <w:rFonts w:hint="eastAsia" w:ascii="仿宋" w:hAnsi="仿宋" w:eastAsia="仿宋" w:cs="仿宋"/>
          <w:b/>
          <w:bCs/>
          <w:u w:val="single"/>
          <w:lang w:val="en-US" w:eastAsia="zh-CN"/>
        </w:rPr>
        <w:t>龙泉片区</w:t>
      </w:r>
      <w:r>
        <w:rPr>
          <w:rFonts w:hint="eastAsia" w:ascii="仿宋" w:hAnsi="仿宋" w:eastAsia="仿宋" w:cs="仿宋"/>
          <w:lang w:val="en-US" w:eastAsia="zh-CN"/>
        </w:rPr>
        <w:t>车辆定点维修</w:t>
      </w:r>
    </w:p>
    <w:p>
      <w:pPr>
        <w:pStyle w:val="61"/>
        <w:snapToGrid w:val="0"/>
        <w:spacing w:after="120" w:afterLines="50" w:line="360" w:lineRule="exact"/>
        <w:ind w:firstLine="480"/>
        <w:rPr>
          <w:rFonts w:hint="default" w:ascii="仿宋" w:hAnsi="仿宋" w:eastAsia="仿宋" w:cs="仿宋"/>
          <w:lang w:val="en-US" w:eastAsia="zh-CN"/>
        </w:rPr>
      </w:pPr>
      <w:r>
        <w:rPr>
          <w:rFonts w:hint="eastAsia" w:ascii="仿宋" w:hAnsi="仿宋" w:eastAsia="仿宋" w:cs="仿宋"/>
          <w:lang w:val="en-US" w:eastAsia="zh-CN"/>
        </w:rPr>
        <w:t>1.3标段3：成渝高速公路成都处</w:t>
      </w:r>
      <w:r>
        <w:rPr>
          <w:rFonts w:hint="eastAsia" w:ascii="仿宋" w:hAnsi="仿宋" w:eastAsia="仿宋" w:cs="仿宋"/>
          <w:b/>
          <w:bCs/>
          <w:u w:val="single"/>
          <w:lang w:val="en-US" w:eastAsia="zh-CN"/>
        </w:rPr>
        <w:t>简阳片区</w:t>
      </w:r>
      <w:r>
        <w:rPr>
          <w:rFonts w:hint="eastAsia" w:ascii="仿宋" w:hAnsi="仿宋" w:eastAsia="仿宋" w:cs="仿宋"/>
          <w:lang w:val="en-US" w:eastAsia="zh-CN"/>
        </w:rPr>
        <w:t>车辆定点维修</w:t>
      </w:r>
    </w:p>
    <w:p>
      <w:pPr>
        <w:spacing w:line="360" w:lineRule="auto"/>
        <w:rPr>
          <w:rFonts w:hint="eastAsia" w:ascii="仿宋" w:hAnsi="仿宋" w:eastAsia="仿宋" w:cs="仿宋"/>
          <w:b/>
          <w:sz w:val="24"/>
        </w:rPr>
      </w:pPr>
      <w:r>
        <w:rPr>
          <w:rFonts w:hint="eastAsia" w:ascii="仿宋" w:hAnsi="仿宋" w:eastAsia="仿宋" w:cs="仿宋"/>
          <w:b/>
          <w:sz w:val="24"/>
        </w:rPr>
        <w:t>二、</w:t>
      </w:r>
      <w:r>
        <w:rPr>
          <w:rFonts w:hint="eastAsia" w:ascii="仿宋" w:hAnsi="仿宋" w:eastAsia="仿宋" w:cs="仿宋"/>
          <w:b/>
          <w:bCs/>
          <w:sz w:val="24"/>
        </w:rPr>
        <w:t>供应商参加本次采购活动应当具备下列条件：</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1.报价单位或企业营业执照复印件。</w:t>
      </w:r>
    </w:p>
    <w:p>
      <w:pPr>
        <w:pStyle w:val="61"/>
        <w:ind w:firstLine="480"/>
        <w:rPr>
          <w:rFonts w:hint="eastAsia" w:ascii="仿宋" w:hAnsi="仿宋" w:eastAsia="仿宋" w:cs="仿宋"/>
          <w:color w:val="auto"/>
          <w:highlight w:val="none"/>
        </w:rPr>
      </w:pPr>
      <w:r>
        <w:rPr>
          <w:rFonts w:hint="eastAsia" w:ascii="仿宋" w:hAnsi="仿宋" w:eastAsia="仿宋" w:cs="仿宋"/>
          <w:color w:val="000000"/>
        </w:rPr>
        <w:t>2.</w:t>
      </w:r>
      <w:r>
        <w:rPr>
          <w:rFonts w:hint="eastAsia" w:ascii="仿宋" w:hAnsi="仿宋" w:eastAsia="仿宋" w:cs="仿宋"/>
          <w:color w:val="000000"/>
          <w:lang w:val="en-US" w:eastAsia="zh-CN"/>
        </w:rPr>
        <w:t>该</w:t>
      </w:r>
      <w:r>
        <w:rPr>
          <w:rFonts w:hint="eastAsia" w:ascii="仿宋" w:hAnsi="仿宋" w:eastAsia="仿宋" w:cs="仿宋"/>
          <w:color w:val="auto"/>
          <w:highlight w:val="none"/>
        </w:rPr>
        <w:t>项目不接受供应商以联合体形式申请比选。</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三、比选文件</w:t>
      </w:r>
      <w:r>
        <w:rPr>
          <w:rFonts w:hint="eastAsia" w:ascii="仿宋" w:hAnsi="仿宋" w:eastAsia="仿宋" w:cs="仿宋"/>
          <w:b/>
          <w:color w:val="auto"/>
          <w:sz w:val="24"/>
          <w:highlight w:val="none"/>
          <w:lang w:val="en-US" w:eastAsia="zh-CN"/>
        </w:rPr>
        <w:t>领取</w:t>
      </w:r>
      <w:r>
        <w:rPr>
          <w:rFonts w:hint="eastAsia" w:ascii="仿宋" w:hAnsi="仿宋" w:eastAsia="仿宋" w:cs="仿宋"/>
          <w:b/>
          <w:color w:val="auto"/>
          <w:sz w:val="24"/>
          <w:highlight w:val="none"/>
        </w:rPr>
        <w:t>时间、地址：</w:t>
      </w:r>
      <w:r>
        <w:rPr>
          <w:rFonts w:hint="eastAsia" w:ascii="仿宋" w:hAnsi="仿宋" w:eastAsia="仿宋" w:cs="仿宋"/>
          <w:color w:val="auto"/>
          <w:sz w:val="24"/>
          <w:highlight w:val="none"/>
        </w:rPr>
        <w:t>20</w:t>
      </w: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日至20</w:t>
      </w: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日（9:00 -1</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0时）</w:t>
      </w:r>
      <w:r>
        <w:rPr>
          <w:rFonts w:hint="eastAsia" w:ascii="仿宋" w:hAnsi="仿宋" w:eastAsia="仿宋" w:cs="仿宋"/>
          <w:color w:val="auto"/>
          <w:sz w:val="24"/>
          <w:highlight w:val="none"/>
          <w:lang w:val="en-US" w:eastAsia="zh-CN"/>
        </w:rPr>
        <w:t>在四川成渝高速公路股份有限公司成渝分公司成都管理处一楼120室</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携带介绍信、身份证复印件加盖公章</w:t>
      </w:r>
      <w:r>
        <w:rPr>
          <w:rFonts w:hint="eastAsia" w:ascii="仿宋" w:hAnsi="仿宋" w:eastAsia="仿宋" w:cs="仿宋"/>
          <w:color w:val="auto"/>
          <w:sz w:val="24"/>
          <w:highlight w:val="none"/>
        </w:rPr>
        <w:t>。</w:t>
      </w:r>
    </w:p>
    <w:p>
      <w:pPr>
        <w:numPr>
          <w:ilvl w:val="0"/>
          <w:numId w:val="0"/>
        </w:num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lang w:val="en-US" w:eastAsia="zh-CN"/>
        </w:rPr>
        <w:t>四、</w:t>
      </w:r>
      <w:r>
        <w:rPr>
          <w:rFonts w:hint="eastAsia" w:ascii="仿宋" w:hAnsi="仿宋" w:eastAsia="仿宋" w:cs="仿宋"/>
          <w:b/>
          <w:color w:val="auto"/>
          <w:sz w:val="24"/>
          <w:highlight w:val="none"/>
        </w:rPr>
        <w:t>响应文件递交截止时间和地点：</w:t>
      </w:r>
      <w:r>
        <w:rPr>
          <w:rFonts w:hint="eastAsia" w:ascii="仿宋" w:hAnsi="仿宋" w:eastAsia="仿宋" w:cs="仿宋"/>
          <w:color w:val="auto"/>
          <w:sz w:val="24"/>
          <w:highlight w:val="none"/>
        </w:rPr>
        <w:t>20</w:t>
      </w: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18</w:t>
      </w: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eastAsia="zh-CN"/>
        </w:rPr>
        <w:t>16：30</w:t>
      </w:r>
      <w:r>
        <w:rPr>
          <w:rFonts w:hint="eastAsia" w:ascii="仿宋" w:hAnsi="仿宋" w:eastAsia="仿宋" w:cs="仿宋"/>
          <w:color w:val="auto"/>
          <w:sz w:val="24"/>
          <w:highlight w:val="none"/>
        </w:rPr>
        <w:t>时前递交至</w:t>
      </w:r>
      <w:r>
        <w:rPr>
          <w:rFonts w:hint="eastAsia" w:ascii="仿宋" w:hAnsi="仿宋" w:eastAsia="仿宋" w:cs="仿宋"/>
          <w:color w:val="auto"/>
          <w:sz w:val="24"/>
          <w:highlight w:val="none"/>
          <w:lang w:val="en-US" w:eastAsia="zh-CN"/>
        </w:rPr>
        <w:t>四川成渝高速公路股份有限公司成渝分公司成都管理处二楼会议室</w:t>
      </w:r>
      <w:r>
        <w:rPr>
          <w:rFonts w:hint="eastAsia" w:ascii="仿宋" w:hAnsi="仿宋" w:eastAsia="仿宋" w:cs="仿宋"/>
          <w:color w:val="auto"/>
          <w:sz w:val="24"/>
          <w:highlight w:val="none"/>
        </w:rPr>
        <w:t>。逾期送达的响应文件将被拒绝。</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五</w:t>
      </w:r>
      <w:r>
        <w:rPr>
          <w:rFonts w:hint="eastAsia" w:ascii="仿宋" w:hAnsi="仿宋" w:eastAsia="仿宋" w:cs="仿宋"/>
          <w:b/>
          <w:color w:val="auto"/>
          <w:sz w:val="24"/>
          <w:highlight w:val="none"/>
        </w:rPr>
        <w:t>、联系方式：</w:t>
      </w:r>
    </w:p>
    <w:p>
      <w:pPr>
        <w:pStyle w:val="61"/>
        <w:snapToGrid w:val="0"/>
        <w:spacing w:beforeLines="50"/>
        <w:ind w:firstLine="482"/>
        <w:rPr>
          <w:rFonts w:hint="eastAsia" w:ascii="仿宋" w:hAnsi="仿宋" w:eastAsia="仿宋" w:cs="仿宋"/>
          <w:b/>
          <w:lang w:eastAsia="zh-CN"/>
        </w:rPr>
      </w:pPr>
      <w:r>
        <w:rPr>
          <w:rFonts w:hint="eastAsia" w:ascii="仿宋" w:hAnsi="仿宋" w:eastAsia="仿宋" w:cs="仿宋"/>
          <w:b/>
        </w:rPr>
        <w:t>采购人：</w:t>
      </w:r>
      <w:r>
        <w:rPr>
          <w:rFonts w:hint="eastAsia" w:ascii="仿宋" w:hAnsi="仿宋" w:eastAsia="仿宋" w:cs="仿宋"/>
          <w:b/>
          <w:lang w:eastAsia="zh-CN"/>
        </w:rPr>
        <w:t>四川成渝高速公路股份有限公司成渝分公司成都管理处</w:t>
      </w:r>
    </w:p>
    <w:p>
      <w:pPr>
        <w:pStyle w:val="61"/>
        <w:keepNext w:val="0"/>
        <w:keepLines w:val="0"/>
        <w:pageBreakBefore w:val="0"/>
        <w:widowControl w:val="0"/>
        <w:kinsoku/>
        <w:wordWrap/>
        <w:overflowPunct/>
        <w:topLinePunct w:val="0"/>
        <w:autoSpaceDE/>
        <w:autoSpaceDN/>
        <w:bidi w:val="0"/>
        <w:adjustRightInd/>
        <w:snapToGrid w:val="0"/>
        <w:spacing w:beforeLines="50" w:line="240" w:lineRule="auto"/>
        <w:ind w:firstLine="720" w:firstLineChars="300"/>
        <w:textAlignment w:val="auto"/>
        <w:rPr>
          <w:rFonts w:hint="default" w:ascii="仿宋" w:hAnsi="仿宋" w:eastAsia="仿宋" w:cs="仿宋"/>
          <w:b w:val="0"/>
          <w:bCs/>
          <w:color w:val="auto"/>
          <w:lang w:val="en-US" w:eastAsia="zh-CN"/>
        </w:rPr>
      </w:pPr>
      <w:r>
        <w:rPr>
          <w:rFonts w:hint="eastAsia" w:ascii="仿宋" w:hAnsi="仿宋" w:eastAsia="仿宋" w:cs="仿宋"/>
          <w:color w:val="auto"/>
        </w:rPr>
        <w:t>通讯</w:t>
      </w:r>
      <w:r>
        <w:rPr>
          <w:rFonts w:hint="eastAsia" w:ascii="仿宋" w:hAnsi="仿宋" w:eastAsia="仿宋" w:cs="仿宋"/>
          <w:b w:val="0"/>
          <w:bCs/>
          <w:color w:val="auto"/>
        </w:rPr>
        <w:t>地址：</w:t>
      </w:r>
      <w:r>
        <w:rPr>
          <w:rFonts w:hint="eastAsia" w:ascii="仿宋" w:hAnsi="仿宋" w:eastAsia="仿宋" w:cs="仿宋"/>
          <w:b w:val="0"/>
          <w:bCs/>
          <w:color w:val="auto"/>
          <w:lang w:val="en-US" w:eastAsia="zh-CN"/>
        </w:rPr>
        <w:t>G76厦蓉高速公路出口西北向</w:t>
      </w:r>
      <w:r>
        <w:rPr>
          <w:rFonts w:hint="eastAsia" w:ascii="仿宋" w:hAnsi="仿宋" w:eastAsia="仿宋" w:cs="仿宋"/>
          <w:b w:val="0"/>
          <w:bCs/>
          <w:lang w:eastAsia="zh-CN"/>
        </w:rPr>
        <w:t>成渝分公司成都管理处</w:t>
      </w:r>
    </w:p>
    <w:p>
      <w:pPr>
        <w:pStyle w:val="61"/>
        <w:keepNext w:val="0"/>
        <w:keepLines w:val="0"/>
        <w:pageBreakBefore w:val="0"/>
        <w:widowControl w:val="0"/>
        <w:kinsoku/>
        <w:wordWrap/>
        <w:overflowPunct/>
        <w:topLinePunct w:val="0"/>
        <w:autoSpaceDE/>
        <w:autoSpaceDN/>
        <w:bidi w:val="0"/>
        <w:adjustRightInd/>
        <w:snapToGrid w:val="0"/>
        <w:spacing w:beforeLines="50" w:line="240" w:lineRule="auto"/>
        <w:ind w:firstLine="720" w:firstLineChars="300"/>
        <w:textAlignment w:val="auto"/>
        <w:rPr>
          <w:rFonts w:hint="eastAsia" w:ascii="仿宋" w:hAnsi="仿宋" w:eastAsia="仿宋" w:cs="仿宋"/>
          <w:b w:val="0"/>
          <w:bCs/>
          <w:color w:val="auto"/>
          <w:lang w:val="en-US" w:eastAsia="zh-CN"/>
        </w:rPr>
      </w:pPr>
      <w:r>
        <w:rPr>
          <w:rFonts w:hint="eastAsia" w:ascii="仿宋" w:hAnsi="仿宋" w:eastAsia="仿宋" w:cs="仿宋"/>
          <w:b w:val="0"/>
          <w:bCs/>
          <w:color w:val="auto"/>
        </w:rPr>
        <w:t>联系人：</w:t>
      </w:r>
      <w:r>
        <w:rPr>
          <w:rFonts w:hint="eastAsia" w:ascii="仿宋" w:hAnsi="仿宋" w:eastAsia="仿宋" w:cs="仿宋"/>
          <w:b w:val="0"/>
          <w:bCs/>
          <w:color w:val="auto"/>
          <w:lang w:val="en-US" w:eastAsia="zh-CN"/>
        </w:rPr>
        <w:t>白女士</w:t>
      </w:r>
    </w:p>
    <w:p>
      <w:pPr>
        <w:pStyle w:val="61"/>
        <w:keepNext w:val="0"/>
        <w:keepLines w:val="0"/>
        <w:pageBreakBefore w:val="0"/>
        <w:widowControl w:val="0"/>
        <w:kinsoku/>
        <w:wordWrap/>
        <w:overflowPunct/>
        <w:topLinePunct w:val="0"/>
        <w:autoSpaceDE/>
        <w:autoSpaceDN/>
        <w:bidi w:val="0"/>
        <w:adjustRightInd/>
        <w:snapToGrid w:val="0"/>
        <w:spacing w:beforeLines="50" w:line="240" w:lineRule="auto"/>
        <w:ind w:firstLine="720" w:firstLineChars="300"/>
        <w:textAlignment w:val="auto"/>
        <w:rPr>
          <w:rFonts w:hint="default" w:ascii="仿宋" w:hAnsi="仿宋" w:eastAsia="仿宋" w:cs="仿宋"/>
          <w:b w:val="0"/>
          <w:bCs/>
          <w:color w:val="auto"/>
          <w:lang w:val="en-US" w:eastAsia="zh-CN"/>
        </w:rPr>
      </w:pPr>
      <w:r>
        <w:rPr>
          <w:rFonts w:hint="eastAsia" w:ascii="仿宋" w:hAnsi="仿宋" w:eastAsia="仿宋" w:cs="仿宋"/>
          <w:b w:val="0"/>
          <w:bCs/>
          <w:color w:val="auto"/>
        </w:rPr>
        <w:t>联系电话：</w:t>
      </w:r>
      <w:r>
        <w:rPr>
          <w:rFonts w:hint="eastAsia" w:ascii="仿宋" w:hAnsi="仿宋" w:eastAsia="仿宋" w:cs="仿宋"/>
          <w:b w:val="0"/>
          <w:bCs/>
          <w:color w:val="auto"/>
          <w:lang w:val="en-US" w:eastAsia="zh-CN"/>
        </w:rPr>
        <w:t>15828517773</w:t>
      </w:r>
    </w:p>
    <w:p>
      <w:pPr>
        <w:rPr>
          <w:rFonts w:hint="eastAsia" w:ascii="仿宋" w:hAnsi="仿宋" w:eastAsia="仿宋" w:cs="仿宋"/>
          <w:b/>
          <w:color w:val="auto"/>
          <w:sz w:val="24"/>
        </w:rPr>
      </w:pPr>
    </w:p>
    <w:p>
      <w:pPr>
        <w:rPr>
          <w:rFonts w:hint="eastAsia" w:ascii="仿宋" w:hAnsi="仿宋" w:eastAsia="仿宋" w:cs="仿宋"/>
          <w:color w:val="auto"/>
          <w:sz w:val="32"/>
          <w:szCs w:val="32"/>
        </w:rPr>
      </w:pPr>
      <w:bookmarkStart w:id="2" w:name="_Toc477957402"/>
      <w:r>
        <w:rPr>
          <w:rFonts w:hint="eastAsia" w:ascii="仿宋" w:hAnsi="仿宋" w:eastAsia="仿宋" w:cs="仿宋"/>
          <w:color w:val="auto"/>
          <w:sz w:val="32"/>
          <w:szCs w:val="32"/>
        </w:rPr>
        <w:br w:type="page"/>
      </w:r>
    </w:p>
    <w:p>
      <w:pPr>
        <w:pStyle w:val="4"/>
        <w:snapToGrid w:val="0"/>
        <w:spacing w:beforeLines="100" w:afterLines="100" w:line="240" w:lineRule="auto"/>
        <w:jc w:val="center"/>
        <w:rPr>
          <w:rFonts w:hint="eastAsia" w:ascii="仿宋" w:hAnsi="仿宋" w:eastAsia="仿宋" w:cs="仿宋"/>
          <w:sz w:val="32"/>
          <w:szCs w:val="32"/>
        </w:rPr>
      </w:pPr>
      <w:r>
        <w:rPr>
          <w:rFonts w:hint="eastAsia" w:ascii="仿宋" w:hAnsi="仿宋" w:eastAsia="仿宋" w:cs="仿宋"/>
          <w:sz w:val="32"/>
          <w:szCs w:val="32"/>
        </w:rPr>
        <w:t>第二章  比选须知前附表及比选须知</w:t>
      </w:r>
      <w:bookmarkEnd w:id="2"/>
    </w:p>
    <w:p>
      <w:pPr>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一、比选须知前附表</w:t>
      </w:r>
    </w:p>
    <w:tbl>
      <w:tblPr>
        <w:tblStyle w:val="20"/>
        <w:tblW w:w="960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26"/>
        <w:gridCol w:w="2017"/>
        <w:gridCol w:w="69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626" w:type="dxa"/>
            <w:vAlign w:val="center"/>
          </w:tcPr>
          <w:p>
            <w:pPr>
              <w:spacing w:line="240" w:lineRule="exact"/>
              <w:ind w:left="-199" w:leftChars="-95" w:right="-107" w:rightChars="-51"/>
              <w:jc w:val="center"/>
              <w:rPr>
                <w:rFonts w:hint="eastAsia" w:ascii="仿宋" w:hAnsi="仿宋" w:eastAsia="仿宋" w:cs="仿宋"/>
                <w:sz w:val="24"/>
              </w:rPr>
            </w:pPr>
            <w:r>
              <w:rPr>
                <w:rFonts w:hint="eastAsia" w:ascii="仿宋" w:hAnsi="仿宋" w:eastAsia="仿宋" w:cs="仿宋"/>
                <w:sz w:val="24"/>
              </w:rPr>
              <w:t>序号</w:t>
            </w:r>
          </w:p>
        </w:tc>
        <w:tc>
          <w:tcPr>
            <w:tcW w:w="2017" w:type="dxa"/>
            <w:vAlign w:val="center"/>
          </w:tcPr>
          <w:p>
            <w:pPr>
              <w:jc w:val="center"/>
              <w:rPr>
                <w:rFonts w:hint="eastAsia" w:ascii="仿宋" w:hAnsi="仿宋" w:eastAsia="仿宋" w:cs="仿宋"/>
                <w:sz w:val="24"/>
              </w:rPr>
            </w:pPr>
            <w:r>
              <w:rPr>
                <w:rFonts w:hint="eastAsia" w:ascii="仿宋" w:hAnsi="仿宋" w:eastAsia="仿宋" w:cs="仿宋"/>
                <w:sz w:val="24"/>
              </w:rPr>
              <w:t>项目</w:t>
            </w:r>
          </w:p>
        </w:tc>
        <w:tc>
          <w:tcPr>
            <w:tcW w:w="6958" w:type="dxa"/>
            <w:vAlign w:val="center"/>
          </w:tcPr>
          <w:p>
            <w:pPr>
              <w:jc w:val="center"/>
              <w:rPr>
                <w:rFonts w:hint="eastAsia" w:ascii="仿宋" w:hAnsi="仿宋" w:eastAsia="仿宋" w:cs="仿宋"/>
                <w:sz w:val="24"/>
              </w:rPr>
            </w:pPr>
            <w:r>
              <w:rPr>
                <w:rFonts w:hint="eastAsia" w:ascii="仿宋" w:hAnsi="仿宋" w:eastAsia="仿宋" w:cs="仿宋"/>
                <w:sz w:val="24"/>
              </w:rPr>
              <w:t>内  容  及  规  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5" w:hRule="atLeast"/>
          <w:jc w:val="center"/>
        </w:trPr>
        <w:tc>
          <w:tcPr>
            <w:tcW w:w="626" w:type="dxa"/>
            <w:vAlign w:val="center"/>
          </w:tcPr>
          <w:p>
            <w:pPr>
              <w:spacing w:line="420" w:lineRule="exact"/>
              <w:jc w:val="center"/>
              <w:rPr>
                <w:rFonts w:hint="eastAsia" w:ascii="仿宋" w:hAnsi="仿宋" w:eastAsia="仿宋" w:cs="仿宋"/>
                <w:sz w:val="24"/>
              </w:rPr>
            </w:pPr>
            <w:r>
              <w:rPr>
                <w:rFonts w:hint="eastAsia" w:ascii="仿宋" w:hAnsi="仿宋" w:eastAsia="仿宋" w:cs="仿宋"/>
                <w:sz w:val="24"/>
              </w:rPr>
              <w:t>1</w:t>
            </w:r>
          </w:p>
        </w:tc>
        <w:tc>
          <w:tcPr>
            <w:tcW w:w="2017" w:type="dxa"/>
            <w:vAlign w:val="center"/>
          </w:tcPr>
          <w:p>
            <w:pPr>
              <w:spacing w:line="420" w:lineRule="exact"/>
              <w:jc w:val="center"/>
              <w:rPr>
                <w:rFonts w:hint="eastAsia" w:ascii="仿宋" w:hAnsi="仿宋" w:eastAsia="仿宋" w:cs="仿宋"/>
                <w:sz w:val="24"/>
              </w:rPr>
            </w:pPr>
            <w:r>
              <w:rPr>
                <w:rFonts w:hint="eastAsia" w:ascii="仿宋" w:hAnsi="仿宋" w:eastAsia="仿宋" w:cs="仿宋"/>
                <w:sz w:val="24"/>
              </w:rPr>
              <w:t>比选项目名称</w:t>
            </w:r>
          </w:p>
        </w:tc>
        <w:tc>
          <w:tcPr>
            <w:tcW w:w="6958" w:type="dxa"/>
            <w:vAlign w:val="center"/>
          </w:tcPr>
          <w:p>
            <w:pPr>
              <w:spacing w:line="420" w:lineRule="exact"/>
              <w:rPr>
                <w:rFonts w:hint="eastAsia" w:ascii="仿宋" w:hAnsi="仿宋" w:eastAsia="仿宋" w:cs="仿宋"/>
                <w:sz w:val="24"/>
                <w:lang w:eastAsia="zh-CN"/>
              </w:rPr>
            </w:pPr>
            <w:r>
              <w:rPr>
                <w:rFonts w:hint="eastAsia" w:ascii="仿宋" w:hAnsi="仿宋" w:eastAsia="仿宋" w:cs="仿宋"/>
                <w:sz w:val="24"/>
                <w:lang w:eastAsia="zh-CN"/>
              </w:rPr>
              <w:t>四川成渝高速公路股份有限公司成渝分公司成都管理处车辆定点维修采购项目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4" w:hRule="atLeast"/>
          <w:jc w:val="center"/>
        </w:trPr>
        <w:tc>
          <w:tcPr>
            <w:tcW w:w="626" w:type="dxa"/>
            <w:vAlign w:val="center"/>
          </w:tcPr>
          <w:p>
            <w:pPr>
              <w:spacing w:line="420" w:lineRule="exact"/>
              <w:jc w:val="center"/>
              <w:rPr>
                <w:rFonts w:hint="eastAsia" w:ascii="仿宋" w:hAnsi="仿宋" w:eastAsia="仿宋" w:cs="仿宋"/>
                <w:sz w:val="24"/>
              </w:rPr>
            </w:pPr>
            <w:r>
              <w:rPr>
                <w:rFonts w:hint="eastAsia" w:ascii="仿宋" w:hAnsi="仿宋" w:eastAsia="仿宋" w:cs="仿宋"/>
                <w:sz w:val="24"/>
              </w:rPr>
              <w:t>2</w:t>
            </w:r>
          </w:p>
        </w:tc>
        <w:tc>
          <w:tcPr>
            <w:tcW w:w="2017" w:type="dxa"/>
            <w:vAlign w:val="center"/>
          </w:tcPr>
          <w:p>
            <w:pPr>
              <w:spacing w:line="420" w:lineRule="exact"/>
              <w:jc w:val="center"/>
              <w:rPr>
                <w:rFonts w:hint="eastAsia" w:ascii="仿宋" w:hAnsi="仿宋" w:eastAsia="仿宋" w:cs="仿宋"/>
                <w:sz w:val="24"/>
              </w:rPr>
            </w:pPr>
            <w:r>
              <w:rPr>
                <w:rFonts w:hint="eastAsia" w:ascii="仿宋" w:hAnsi="仿宋" w:eastAsia="仿宋" w:cs="仿宋"/>
                <w:sz w:val="24"/>
              </w:rPr>
              <w:t>实施地点</w:t>
            </w:r>
          </w:p>
        </w:tc>
        <w:tc>
          <w:tcPr>
            <w:tcW w:w="6958" w:type="dxa"/>
            <w:vAlign w:val="center"/>
          </w:tcPr>
          <w:p>
            <w:pPr>
              <w:spacing w:line="360" w:lineRule="auto"/>
              <w:rPr>
                <w:rFonts w:hint="eastAsia" w:ascii="仿宋" w:hAnsi="仿宋" w:eastAsia="仿宋" w:cs="仿宋"/>
                <w:sz w:val="24"/>
              </w:rPr>
            </w:pPr>
            <w:r>
              <w:rPr>
                <w:rFonts w:hint="eastAsia" w:ascii="仿宋" w:hAnsi="仿宋" w:eastAsia="仿宋" w:cs="仿宋"/>
                <w:bCs/>
                <w:sz w:val="24"/>
              </w:rPr>
              <w:t>合同指定地点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7" w:hRule="atLeast"/>
          <w:jc w:val="center"/>
        </w:trPr>
        <w:tc>
          <w:tcPr>
            <w:tcW w:w="626" w:type="dxa"/>
            <w:vAlign w:val="center"/>
          </w:tcPr>
          <w:p>
            <w:pPr>
              <w:spacing w:line="420" w:lineRule="exact"/>
              <w:jc w:val="center"/>
              <w:rPr>
                <w:rFonts w:hint="eastAsia" w:ascii="仿宋" w:hAnsi="仿宋" w:eastAsia="仿宋" w:cs="仿宋"/>
                <w:sz w:val="24"/>
              </w:rPr>
            </w:pPr>
            <w:r>
              <w:rPr>
                <w:rFonts w:hint="eastAsia" w:ascii="仿宋" w:hAnsi="仿宋" w:eastAsia="仿宋" w:cs="仿宋"/>
                <w:sz w:val="24"/>
              </w:rPr>
              <w:t>3</w:t>
            </w:r>
          </w:p>
        </w:tc>
        <w:tc>
          <w:tcPr>
            <w:tcW w:w="2017" w:type="dxa"/>
            <w:vAlign w:val="center"/>
          </w:tcPr>
          <w:p>
            <w:pPr>
              <w:spacing w:line="420" w:lineRule="exact"/>
              <w:jc w:val="center"/>
              <w:rPr>
                <w:rFonts w:hint="eastAsia" w:ascii="仿宋" w:hAnsi="仿宋" w:eastAsia="仿宋" w:cs="仿宋"/>
                <w:sz w:val="24"/>
              </w:rPr>
            </w:pPr>
            <w:r>
              <w:rPr>
                <w:rFonts w:hint="eastAsia" w:ascii="仿宋" w:hAnsi="仿宋" w:eastAsia="仿宋" w:cs="仿宋"/>
                <w:sz w:val="24"/>
              </w:rPr>
              <w:t>预算金额</w:t>
            </w:r>
          </w:p>
        </w:tc>
        <w:tc>
          <w:tcPr>
            <w:tcW w:w="6958" w:type="dxa"/>
            <w:vAlign w:val="center"/>
          </w:tcPr>
          <w:p>
            <w:pPr>
              <w:spacing w:line="420" w:lineRule="exact"/>
              <w:rPr>
                <w:rFonts w:hint="eastAsia" w:ascii="仿宋" w:hAnsi="仿宋" w:eastAsia="仿宋" w:cs="仿宋"/>
                <w:color w:val="auto"/>
                <w:sz w:val="24"/>
                <w:szCs w:val="24"/>
              </w:rPr>
            </w:pPr>
            <w:r>
              <w:rPr>
                <w:rFonts w:hint="eastAsia" w:ascii="仿宋" w:hAnsi="仿宋" w:eastAsia="仿宋" w:cs="仿宋"/>
                <w:color w:val="auto"/>
                <w:kern w:val="0"/>
                <w:sz w:val="24"/>
                <w:szCs w:val="24"/>
                <w:lang w:val="zh-CN"/>
              </w:rPr>
              <w:t>本项目采取服务单价报价，年度采购总预算：人民币</w:t>
            </w:r>
            <w:r>
              <w:rPr>
                <w:rFonts w:hint="eastAsia" w:ascii="仿宋" w:hAnsi="仿宋" w:eastAsia="仿宋" w:cs="仿宋"/>
                <w:color w:val="auto"/>
                <w:kern w:val="0"/>
                <w:sz w:val="24"/>
                <w:szCs w:val="24"/>
                <w:lang w:val="en-US" w:eastAsia="zh-CN"/>
              </w:rPr>
              <w:t>50</w:t>
            </w:r>
            <w:r>
              <w:rPr>
                <w:rFonts w:hint="eastAsia" w:ascii="仿宋" w:hAnsi="仿宋" w:eastAsia="仿宋" w:cs="仿宋"/>
                <w:color w:val="auto"/>
                <w:kern w:val="0"/>
                <w:sz w:val="24"/>
                <w:szCs w:val="24"/>
                <w:lang w:val="zh-CN"/>
              </w:rPr>
              <w:t>万元。</w:t>
            </w:r>
          </w:p>
          <w:p>
            <w:pPr>
              <w:spacing w:line="420" w:lineRule="exact"/>
              <w:rPr>
                <w:rFonts w:hint="eastAsia" w:ascii="仿宋" w:hAnsi="仿宋" w:eastAsia="仿宋" w:cs="仿宋"/>
                <w:sz w:val="24"/>
              </w:rPr>
            </w:pPr>
            <w:r>
              <w:rPr>
                <w:rFonts w:hint="eastAsia" w:ascii="仿宋" w:hAnsi="仿宋" w:eastAsia="仿宋" w:cs="仿宋"/>
                <w:color w:val="auto"/>
                <w:sz w:val="24"/>
                <w:szCs w:val="24"/>
              </w:rPr>
              <w:t>超过采购预算的投标为无效投标。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6" w:hRule="atLeast"/>
          <w:jc w:val="center"/>
        </w:trPr>
        <w:tc>
          <w:tcPr>
            <w:tcW w:w="626" w:type="dxa"/>
            <w:vAlign w:val="center"/>
          </w:tcPr>
          <w:p>
            <w:pPr>
              <w:spacing w:line="420" w:lineRule="exact"/>
              <w:jc w:val="center"/>
              <w:rPr>
                <w:rFonts w:hint="eastAsia" w:ascii="仿宋" w:hAnsi="仿宋" w:eastAsia="仿宋" w:cs="仿宋"/>
                <w:sz w:val="24"/>
              </w:rPr>
            </w:pPr>
            <w:r>
              <w:rPr>
                <w:rFonts w:hint="eastAsia" w:ascii="仿宋" w:hAnsi="仿宋" w:eastAsia="仿宋" w:cs="仿宋"/>
                <w:sz w:val="24"/>
              </w:rPr>
              <w:t>4</w:t>
            </w:r>
          </w:p>
        </w:tc>
        <w:tc>
          <w:tcPr>
            <w:tcW w:w="2017" w:type="dxa"/>
            <w:vAlign w:val="center"/>
          </w:tcPr>
          <w:p>
            <w:pPr>
              <w:spacing w:line="420" w:lineRule="exact"/>
              <w:jc w:val="center"/>
              <w:rPr>
                <w:rFonts w:hint="eastAsia" w:ascii="仿宋" w:hAnsi="仿宋" w:eastAsia="仿宋" w:cs="仿宋"/>
                <w:sz w:val="24"/>
              </w:rPr>
            </w:pPr>
            <w:r>
              <w:rPr>
                <w:rFonts w:hint="eastAsia" w:ascii="仿宋" w:hAnsi="仿宋" w:eastAsia="仿宋" w:cs="仿宋"/>
                <w:sz w:val="24"/>
              </w:rPr>
              <w:t>资金来源</w:t>
            </w:r>
          </w:p>
        </w:tc>
        <w:tc>
          <w:tcPr>
            <w:tcW w:w="6958" w:type="dxa"/>
            <w:vAlign w:val="center"/>
          </w:tcPr>
          <w:p>
            <w:pPr>
              <w:spacing w:line="420" w:lineRule="exact"/>
              <w:rPr>
                <w:rFonts w:hint="eastAsia" w:ascii="仿宋" w:hAnsi="仿宋" w:eastAsia="仿宋" w:cs="仿宋"/>
                <w:sz w:val="24"/>
              </w:rPr>
            </w:pPr>
            <w:r>
              <w:rPr>
                <w:rFonts w:hint="eastAsia" w:ascii="仿宋" w:hAnsi="仿宋" w:eastAsia="仿宋" w:cs="仿宋"/>
                <w:sz w:val="24"/>
              </w:rPr>
              <w:t>资金已落实。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6" w:hRule="atLeast"/>
          <w:jc w:val="center"/>
        </w:trPr>
        <w:tc>
          <w:tcPr>
            <w:tcW w:w="626" w:type="dxa"/>
            <w:vAlign w:val="center"/>
          </w:tcPr>
          <w:p>
            <w:pPr>
              <w:spacing w:line="4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2017" w:type="dxa"/>
            <w:vAlign w:val="center"/>
          </w:tcPr>
          <w:p>
            <w:pPr>
              <w:spacing w:line="420" w:lineRule="exact"/>
              <w:jc w:val="center"/>
              <w:rPr>
                <w:rFonts w:hint="eastAsia" w:ascii="仿宋" w:hAnsi="仿宋" w:eastAsia="仿宋" w:cs="仿宋"/>
                <w:sz w:val="24"/>
              </w:rPr>
            </w:pPr>
            <w:r>
              <w:rPr>
                <w:rFonts w:hint="eastAsia" w:ascii="仿宋" w:hAnsi="仿宋" w:eastAsia="仿宋" w:cs="仿宋"/>
                <w:sz w:val="24"/>
              </w:rPr>
              <w:t>响应文件份数</w:t>
            </w:r>
          </w:p>
        </w:tc>
        <w:tc>
          <w:tcPr>
            <w:tcW w:w="6958" w:type="dxa"/>
            <w:vAlign w:val="center"/>
          </w:tcPr>
          <w:p>
            <w:pPr>
              <w:spacing w:line="420" w:lineRule="exact"/>
              <w:rPr>
                <w:rFonts w:hint="eastAsia" w:ascii="仿宋" w:hAnsi="仿宋" w:eastAsia="仿宋" w:cs="仿宋"/>
                <w:sz w:val="24"/>
              </w:rPr>
            </w:pPr>
            <w:r>
              <w:rPr>
                <w:rFonts w:hint="eastAsia" w:ascii="仿宋" w:hAnsi="仿宋" w:eastAsia="仿宋" w:cs="仿宋"/>
                <w:sz w:val="24"/>
              </w:rPr>
              <w:t>正本1份，副本</w:t>
            </w:r>
            <w:r>
              <w:rPr>
                <w:rFonts w:hint="eastAsia" w:ascii="仿宋" w:hAnsi="仿宋" w:eastAsia="仿宋" w:cs="仿宋"/>
                <w:sz w:val="24"/>
                <w:lang w:val="en-US" w:eastAsia="zh-CN"/>
              </w:rPr>
              <w:t>1</w:t>
            </w:r>
            <w:r>
              <w:rPr>
                <w:rFonts w:hint="eastAsia" w:ascii="仿宋" w:hAnsi="仿宋" w:eastAsia="仿宋" w:cs="仿宋"/>
                <w:sz w:val="24"/>
              </w:rPr>
              <w:t>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99" w:hRule="atLeast"/>
          <w:jc w:val="center"/>
        </w:trPr>
        <w:tc>
          <w:tcPr>
            <w:tcW w:w="626" w:type="dxa"/>
            <w:vAlign w:val="center"/>
          </w:tcPr>
          <w:p>
            <w:pPr>
              <w:spacing w:line="4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6</w:t>
            </w:r>
          </w:p>
        </w:tc>
        <w:tc>
          <w:tcPr>
            <w:tcW w:w="2017" w:type="dxa"/>
            <w:vAlign w:val="center"/>
          </w:tcPr>
          <w:p>
            <w:pPr>
              <w:spacing w:line="420" w:lineRule="exact"/>
              <w:jc w:val="center"/>
              <w:rPr>
                <w:rFonts w:hint="eastAsia" w:ascii="仿宋" w:hAnsi="仿宋" w:eastAsia="仿宋" w:cs="仿宋"/>
                <w:sz w:val="24"/>
              </w:rPr>
            </w:pPr>
            <w:r>
              <w:rPr>
                <w:rFonts w:hint="eastAsia" w:ascii="仿宋" w:hAnsi="仿宋" w:eastAsia="仿宋" w:cs="仿宋"/>
                <w:sz w:val="24"/>
              </w:rPr>
              <w:t>响应文件递交地点及截止时间</w:t>
            </w:r>
          </w:p>
        </w:tc>
        <w:tc>
          <w:tcPr>
            <w:tcW w:w="6958" w:type="dxa"/>
            <w:vAlign w:val="center"/>
          </w:tcPr>
          <w:p>
            <w:pPr>
              <w:spacing w:line="4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比选时间：20</w:t>
            </w: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19</w:t>
            </w: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eastAsia="zh-CN"/>
              </w:rPr>
              <w:t>10：30</w:t>
            </w:r>
            <w:r>
              <w:rPr>
                <w:rFonts w:hint="eastAsia" w:ascii="仿宋" w:hAnsi="仿宋" w:eastAsia="仿宋" w:cs="仿宋"/>
                <w:color w:val="auto"/>
                <w:sz w:val="24"/>
                <w:highlight w:val="none"/>
              </w:rPr>
              <w:t>时（北京时间）</w:t>
            </w:r>
          </w:p>
          <w:p>
            <w:pPr>
              <w:spacing w:line="4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递交地点：</w:t>
            </w:r>
            <w:r>
              <w:rPr>
                <w:rFonts w:hint="eastAsia" w:ascii="仿宋" w:hAnsi="仿宋" w:eastAsia="仿宋" w:cs="仿宋"/>
                <w:color w:val="auto"/>
                <w:sz w:val="24"/>
                <w:highlight w:val="none"/>
                <w:lang w:val="en-US" w:eastAsia="zh-CN"/>
              </w:rPr>
              <w:t>四川成渝高速公路股份有限公司成渝分公司成都管理处二楼会议室</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26" w:type="dxa"/>
            <w:vAlign w:val="center"/>
          </w:tcPr>
          <w:p>
            <w:pPr>
              <w:spacing w:line="4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7</w:t>
            </w:r>
          </w:p>
        </w:tc>
        <w:tc>
          <w:tcPr>
            <w:tcW w:w="2017" w:type="dxa"/>
            <w:vAlign w:val="center"/>
          </w:tcPr>
          <w:p>
            <w:pPr>
              <w:spacing w:line="420" w:lineRule="exact"/>
              <w:jc w:val="center"/>
              <w:rPr>
                <w:rFonts w:hint="eastAsia" w:ascii="仿宋" w:hAnsi="仿宋" w:eastAsia="仿宋" w:cs="仿宋"/>
                <w:sz w:val="24"/>
              </w:rPr>
            </w:pPr>
            <w:r>
              <w:rPr>
                <w:rFonts w:hint="eastAsia" w:ascii="仿宋" w:hAnsi="仿宋" w:eastAsia="仿宋" w:cs="仿宋"/>
                <w:sz w:val="24"/>
              </w:rPr>
              <w:t>比选时间</w:t>
            </w:r>
          </w:p>
        </w:tc>
        <w:tc>
          <w:tcPr>
            <w:tcW w:w="6958" w:type="dxa"/>
            <w:vAlign w:val="center"/>
          </w:tcPr>
          <w:p>
            <w:pPr>
              <w:spacing w:line="420" w:lineRule="exact"/>
              <w:rPr>
                <w:rFonts w:hint="eastAsia" w:ascii="仿宋" w:hAnsi="仿宋" w:eastAsia="仿宋" w:cs="仿宋"/>
                <w:color w:val="auto"/>
                <w:sz w:val="24"/>
              </w:rPr>
            </w:pPr>
            <w:r>
              <w:rPr>
                <w:rFonts w:hint="eastAsia" w:ascii="仿宋" w:hAnsi="仿宋" w:eastAsia="仿宋" w:cs="仿宋"/>
                <w:color w:val="auto"/>
                <w:sz w:val="24"/>
              </w:rPr>
              <w:t>时间地点同响应文件递交地点及截止时间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2" w:hRule="atLeast"/>
          <w:jc w:val="center"/>
        </w:trPr>
        <w:tc>
          <w:tcPr>
            <w:tcW w:w="626" w:type="dxa"/>
            <w:vAlign w:val="center"/>
          </w:tcPr>
          <w:p>
            <w:pPr>
              <w:spacing w:line="4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8</w:t>
            </w:r>
          </w:p>
        </w:tc>
        <w:tc>
          <w:tcPr>
            <w:tcW w:w="2017" w:type="dxa"/>
            <w:vAlign w:val="center"/>
          </w:tcPr>
          <w:p>
            <w:pPr>
              <w:spacing w:line="420" w:lineRule="exact"/>
              <w:jc w:val="center"/>
              <w:rPr>
                <w:rFonts w:hint="eastAsia" w:ascii="仿宋" w:hAnsi="仿宋" w:eastAsia="仿宋" w:cs="仿宋"/>
                <w:sz w:val="24"/>
              </w:rPr>
            </w:pPr>
            <w:r>
              <w:rPr>
                <w:rFonts w:hint="eastAsia" w:ascii="仿宋" w:hAnsi="仿宋" w:eastAsia="仿宋" w:cs="仿宋"/>
                <w:sz w:val="24"/>
              </w:rPr>
              <w:t>比选有效期：</w:t>
            </w:r>
          </w:p>
        </w:tc>
        <w:tc>
          <w:tcPr>
            <w:tcW w:w="6958" w:type="dxa"/>
            <w:vAlign w:val="center"/>
          </w:tcPr>
          <w:p>
            <w:pPr>
              <w:spacing w:line="420" w:lineRule="exact"/>
              <w:rPr>
                <w:rFonts w:hint="eastAsia" w:ascii="仿宋" w:hAnsi="仿宋" w:eastAsia="仿宋" w:cs="仿宋"/>
                <w:sz w:val="24"/>
              </w:rPr>
            </w:pPr>
            <w:r>
              <w:rPr>
                <w:rFonts w:hint="eastAsia" w:ascii="仿宋" w:hAnsi="仿宋" w:eastAsia="仿宋" w:cs="仿宋"/>
                <w:sz w:val="24"/>
              </w:rPr>
              <w:t>90个日历日（从比选截止之日算起）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1" w:hRule="atLeast"/>
          <w:jc w:val="center"/>
        </w:trPr>
        <w:tc>
          <w:tcPr>
            <w:tcW w:w="626" w:type="dxa"/>
            <w:vAlign w:val="center"/>
          </w:tcPr>
          <w:p>
            <w:pPr>
              <w:spacing w:line="42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9</w:t>
            </w:r>
          </w:p>
        </w:tc>
        <w:tc>
          <w:tcPr>
            <w:tcW w:w="2017" w:type="dxa"/>
            <w:vAlign w:val="center"/>
          </w:tcPr>
          <w:p>
            <w:pPr>
              <w:pStyle w:val="60"/>
              <w:snapToGrid w:val="0"/>
              <w:spacing w:line="320" w:lineRule="exact"/>
              <w:ind w:left="142" w:right="141" w:rightChars="67"/>
              <w:jc w:val="center"/>
              <w:rPr>
                <w:rFonts w:hint="eastAsia" w:ascii="仿宋" w:hAnsi="仿宋" w:eastAsia="仿宋" w:cs="仿宋"/>
                <w:kern w:val="2"/>
              </w:rPr>
            </w:pPr>
            <w:r>
              <w:rPr>
                <w:rFonts w:hint="eastAsia" w:ascii="仿宋" w:hAnsi="仿宋" w:eastAsia="仿宋" w:cs="仿宋"/>
                <w:kern w:val="2"/>
              </w:rPr>
              <w:t>比选保证金</w:t>
            </w:r>
          </w:p>
        </w:tc>
        <w:tc>
          <w:tcPr>
            <w:tcW w:w="6958" w:type="dxa"/>
            <w:vAlign w:val="center"/>
          </w:tcPr>
          <w:p>
            <w:pPr>
              <w:pStyle w:val="60"/>
              <w:snapToGrid w:val="0"/>
              <w:spacing w:line="320" w:lineRule="exact"/>
              <w:ind w:left="143" w:leftChars="68" w:right="158" w:rightChars="75" w:firstLine="240" w:firstLineChars="100"/>
              <w:jc w:val="both"/>
              <w:rPr>
                <w:rFonts w:hint="eastAsia" w:ascii="仿宋" w:hAnsi="仿宋" w:eastAsia="仿宋" w:cs="仿宋"/>
              </w:rPr>
            </w:pPr>
            <w:r>
              <w:rPr>
                <w:rFonts w:hint="eastAsia" w:ascii="仿宋" w:hAnsi="仿宋" w:eastAsia="仿宋" w:cs="仿宋"/>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1" w:hRule="atLeast"/>
          <w:jc w:val="center"/>
        </w:trPr>
        <w:tc>
          <w:tcPr>
            <w:tcW w:w="626" w:type="dxa"/>
            <w:vAlign w:val="center"/>
          </w:tcPr>
          <w:p>
            <w:pPr>
              <w:spacing w:line="420" w:lineRule="exact"/>
              <w:jc w:val="center"/>
              <w:rPr>
                <w:rFonts w:hint="eastAsia" w:ascii="仿宋" w:hAnsi="仿宋" w:eastAsia="仿宋" w:cs="仿宋"/>
                <w:sz w:val="24"/>
                <w:lang w:val="en-US" w:eastAsia="zh-CN"/>
              </w:rPr>
            </w:pPr>
            <w:r>
              <w:rPr>
                <w:rFonts w:hint="eastAsia" w:ascii="仿宋" w:hAnsi="仿宋" w:eastAsia="仿宋" w:cs="仿宋"/>
                <w:sz w:val="24"/>
              </w:rPr>
              <w:t>1</w:t>
            </w:r>
            <w:r>
              <w:rPr>
                <w:rFonts w:hint="eastAsia" w:ascii="仿宋" w:hAnsi="仿宋" w:eastAsia="仿宋" w:cs="仿宋"/>
                <w:sz w:val="24"/>
                <w:lang w:val="en-US" w:eastAsia="zh-CN"/>
              </w:rPr>
              <w:t>0</w:t>
            </w:r>
          </w:p>
        </w:tc>
        <w:tc>
          <w:tcPr>
            <w:tcW w:w="2017" w:type="dxa"/>
            <w:vAlign w:val="center"/>
          </w:tcPr>
          <w:p>
            <w:pPr>
              <w:pStyle w:val="60"/>
              <w:snapToGrid w:val="0"/>
              <w:spacing w:line="320" w:lineRule="exact"/>
              <w:ind w:left="142" w:right="141" w:rightChars="67"/>
              <w:jc w:val="center"/>
              <w:rPr>
                <w:rFonts w:hint="eastAsia" w:ascii="仿宋" w:hAnsi="仿宋" w:eastAsia="仿宋" w:cs="仿宋"/>
                <w:kern w:val="2"/>
              </w:rPr>
            </w:pPr>
            <w:r>
              <w:rPr>
                <w:rFonts w:hint="eastAsia" w:ascii="仿宋" w:hAnsi="仿宋" w:eastAsia="仿宋" w:cs="仿宋"/>
                <w:kern w:val="2"/>
              </w:rPr>
              <w:t>低于成本价不正当竞争预防措施</w:t>
            </w:r>
            <w:r>
              <w:rPr>
                <w:rFonts w:hint="eastAsia" w:ascii="仿宋" w:hAnsi="仿宋" w:eastAsia="仿宋" w:cs="仿宋"/>
              </w:rPr>
              <w:t>（实质性要求）</w:t>
            </w:r>
          </w:p>
        </w:tc>
        <w:tc>
          <w:tcPr>
            <w:tcW w:w="6958" w:type="dxa"/>
            <w:vAlign w:val="center"/>
          </w:tcPr>
          <w:p>
            <w:pPr>
              <w:pStyle w:val="60"/>
              <w:snapToGrid w:val="0"/>
              <w:spacing w:line="320" w:lineRule="exact"/>
              <w:ind w:left="143" w:leftChars="68" w:right="158" w:rightChars="75" w:firstLine="240" w:firstLineChars="100"/>
              <w:jc w:val="both"/>
              <w:rPr>
                <w:rFonts w:hint="eastAsia" w:ascii="仿宋" w:hAnsi="仿宋" w:eastAsia="仿宋" w:cs="仿宋"/>
              </w:rPr>
            </w:pPr>
            <w:r>
              <w:rPr>
                <w:rFonts w:hint="eastAsia" w:ascii="仿宋" w:hAnsi="仿宋" w:eastAsia="仿宋" w:cs="仿宋"/>
              </w:rPr>
              <w:t>在评标过程中，供应商报价低于采购预算50%或者低于其他有效供应商报价算术平均价40%，有可能影响产品质量或者不能诚信履约的，评标委员会应当要求其在评标现场合理的时间内提供成本构成书面说明，并提交相关证明材料。供应商书面说明应当按照国家财务会计制度的规定要求，逐项就投标人提供的服务的主营业务成本、税金及附加、销售费用、管理费用、财务费用等成本构成事项详细陈述。</w:t>
            </w:r>
          </w:p>
          <w:p>
            <w:pPr>
              <w:pStyle w:val="60"/>
              <w:snapToGrid w:val="0"/>
              <w:spacing w:line="320" w:lineRule="exact"/>
              <w:ind w:left="143" w:leftChars="68" w:right="158" w:rightChars="75" w:firstLine="240" w:firstLineChars="100"/>
              <w:jc w:val="both"/>
              <w:rPr>
                <w:rFonts w:hint="eastAsia" w:ascii="仿宋" w:hAnsi="仿宋" w:eastAsia="仿宋" w:cs="仿宋"/>
              </w:rPr>
            </w:pPr>
            <w:r>
              <w:rPr>
                <w:rFonts w:hint="eastAsia" w:ascii="仿宋" w:hAnsi="仿宋" w:eastAsia="仿宋" w:cs="仿宋"/>
              </w:rPr>
              <w:t>供应商人书面说明应当签字确认或者加盖单位公章，否则无效。书面说明的签字确认，供应商人为法人的，由其法定代表人或者代理人签字确认；供应商为其他组织的，由其主要负责人或者代理人签字确认；供应商为自然人的，由其本人或者代理人签字确认。</w:t>
            </w:r>
          </w:p>
          <w:p>
            <w:pPr>
              <w:pStyle w:val="60"/>
              <w:snapToGrid w:val="0"/>
              <w:spacing w:line="320" w:lineRule="exact"/>
              <w:ind w:left="143" w:leftChars="68" w:right="158" w:rightChars="75" w:firstLine="240" w:firstLineChars="100"/>
              <w:jc w:val="both"/>
              <w:rPr>
                <w:rFonts w:hint="eastAsia" w:ascii="仿宋" w:hAnsi="仿宋" w:eastAsia="仿宋" w:cs="仿宋"/>
                <w:kern w:val="2"/>
              </w:rPr>
            </w:pPr>
            <w:r>
              <w:rPr>
                <w:rFonts w:hint="eastAsia" w:ascii="仿宋" w:hAnsi="仿宋" w:eastAsia="仿宋" w:cs="仿宋"/>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1" w:hRule="atLeast"/>
          <w:jc w:val="center"/>
        </w:trPr>
        <w:tc>
          <w:tcPr>
            <w:tcW w:w="626" w:type="dxa"/>
            <w:vAlign w:val="center"/>
          </w:tcPr>
          <w:p>
            <w:pPr>
              <w:spacing w:line="420" w:lineRule="exact"/>
              <w:jc w:val="center"/>
              <w:rPr>
                <w:rFonts w:hint="eastAsia" w:ascii="仿宋" w:hAnsi="仿宋" w:eastAsia="仿宋" w:cs="仿宋"/>
                <w:sz w:val="24"/>
                <w:lang w:val="en-US" w:eastAsia="zh-CN"/>
              </w:rPr>
            </w:pPr>
            <w:r>
              <w:rPr>
                <w:rFonts w:hint="eastAsia" w:ascii="仿宋" w:hAnsi="仿宋" w:eastAsia="仿宋" w:cs="仿宋"/>
                <w:sz w:val="24"/>
              </w:rPr>
              <w:t>1</w:t>
            </w:r>
            <w:r>
              <w:rPr>
                <w:rFonts w:hint="eastAsia" w:ascii="仿宋" w:hAnsi="仿宋" w:eastAsia="仿宋" w:cs="仿宋"/>
                <w:sz w:val="24"/>
                <w:lang w:val="en-US" w:eastAsia="zh-CN"/>
              </w:rPr>
              <w:t>1</w:t>
            </w:r>
          </w:p>
        </w:tc>
        <w:tc>
          <w:tcPr>
            <w:tcW w:w="2017" w:type="dxa"/>
            <w:vAlign w:val="center"/>
          </w:tcPr>
          <w:p>
            <w:pPr>
              <w:pStyle w:val="60"/>
              <w:snapToGrid w:val="0"/>
              <w:spacing w:line="320" w:lineRule="exact"/>
              <w:ind w:right="158" w:rightChars="75"/>
              <w:jc w:val="center"/>
              <w:rPr>
                <w:rFonts w:hint="eastAsia" w:ascii="仿宋" w:hAnsi="仿宋" w:eastAsia="仿宋" w:cs="仿宋"/>
                <w:lang w:val="zh-CN"/>
              </w:rPr>
            </w:pPr>
            <w:r>
              <w:rPr>
                <w:rFonts w:hint="eastAsia" w:ascii="仿宋" w:hAnsi="仿宋" w:eastAsia="仿宋" w:cs="仿宋"/>
                <w:lang w:val="zh-CN"/>
              </w:rPr>
              <w:t>强制认证产品 （如涉及）</w:t>
            </w:r>
          </w:p>
        </w:tc>
        <w:tc>
          <w:tcPr>
            <w:tcW w:w="6958" w:type="dxa"/>
            <w:vAlign w:val="center"/>
          </w:tcPr>
          <w:p>
            <w:pPr>
              <w:pStyle w:val="60"/>
              <w:snapToGrid w:val="0"/>
              <w:spacing w:line="320" w:lineRule="exact"/>
              <w:ind w:left="143" w:leftChars="68" w:right="158" w:rightChars="75" w:firstLine="240" w:firstLineChars="100"/>
              <w:jc w:val="both"/>
              <w:rPr>
                <w:rFonts w:hint="eastAsia" w:ascii="仿宋" w:hAnsi="仿宋" w:eastAsia="仿宋" w:cs="仿宋"/>
                <w:lang w:val="zh-CN"/>
              </w:rPr>
            </w:pPr>
            <w:r>
              <w:rPr>
                <w:rFonts w:hint="eastAsia" w:ascii="仿宋" w:hAnsi="仿宋" w:eastAsia="仿宋" w:cs="仿宋"/>
              </w:rPr>
              <w:t>1.</w:t>
            </w:r>
            <w:r>
              <w:rPr>
                <w:rFonts w:hint="eastAsia" w:ascii="仿宋" w:hAnsi="仿宋" w:eastAsia="仿宋" w:cs="仿宋"/>
                <w:lang w:val="zh-CN"/>
              </w:rPr>
              <w:t>如涉及CCC认证产品的CCC认证证书在响应文件中可不提供，中选供应商应在中选通知书发出之日起30日内提供至采购人。</w:t>
            </w:r>
          </w:p>
          <w:p>
            <w:pPr>
              <w:pStyle w:val="60"/>
              <w:snapToGrid w:val="0"/>
              <w:spacing w:line="320" w:lineRule="exact"/>
              <w:ind w:left="143" w:leftChars="68" w:right="158" w:rightChars="75" w:firstLine="240" w:firstLineChars="100"/>
              <w:jc w:val="both"/>
              <w:rPr>
                <w:rFonts w:hint="eastAsia" w:ascii="仿宋" w:hAnsi="仿宋" w:eastAsia="仿宋" w:cs="仿宋"/>
              </w:rPr>
            </w:pPr>
            <w:r>
              <w:rPr>
                <w:rFonts w:hint="eastAsia" w:ascii="仿宋" w:hAnsi="仿宋" w:eastAsia="仿宋" w:cs="仿宋"/>
                <w:lang w:val="zh-CN"/>
              </w:rPr>
              <w:t>2.如涉及政府强制采购节能产品参加比选的须提供该产品最新一期的强制采购节能产品清单所在页截图证明（详见中国政府采购网）</w:t>
            </w:r>
          </w:p>
        </w:tc>
      </w:tr>
    </w:tbl>
    <w:p>
      <w:pPr>
        <w:spacing w:line="360" w:lineRule="auto"/>
        <w:jc w:val="center"/>
        <w:rPr>
          <w:rFonts w:hint="eastAsia" w:ascii="仿宋" w:hAnsi="仿宋" w:eastAsia="仿宋" w:cs="仿宋"/>
          <w:b/>
          <w:sz w:val="32"/>
          <w:szCs w:val="28"/>
        </w:rPr>
      </w:pPr>
      <w:r>
        <w:rPr>
          <w:rFonts w:hint="eastAsia" w:ascii="仿宋" w:hAnsi="仿宋" w:eastAsia="仿宋" w:cs="仿宋"/>
          <w:b/>
          <w:sz w:val="32"/>
          <w:szCs w:val="28"/>
        </w:rPr>
        <w:br w:type="page"/>
      </w:r>
      <w:r>
        <w:rPr>
          <w:rFonts w:hint="eastAsia" w:ascii="仿宋" w:hAnsi="仿宋" w:eastAsia="仿宋" w:cs="仿宋"/>
          <w:b/>
          <w:sz w:val="32"/>
          <w:szCs w:val="28"/>
        </w:rPr>
        <w:t>二、比选须知</w:t>
      </w:r>
    </w:p>
    <w:p>
      <w:pPr>
        <w:spacing w:line="360" w:lineRule="auto"/>
        <w:jc w:val="center"/>
        <w:rPr>
          <w:rFonts w:hint="eastAsia" w:ascii="仿宋" w:hAnsi="仿宋" w:eastAsia="仿宋" w:cs="仿宋"/>
          <w:b/>
          <w:sz w:val="24"/>
        </w:rPr>
      </w:pPr>
      <w:r>
        <w:rPr>
          <w:rFonts w:hint="eastAsia" w:ascii="仿宋" w:hAnsi="仿宋" w:eastAsia="仿宋" w:cs="仿宋"/>
          <w:b/>
          <w:sz w:val="24"/>
        </w:rPr>
        <w:t>（一）总  则</w:t>
      </w:r>
    </w:p>
    <w:p>
      <w:pPr>
        <w:spacing w:line="420" w:lineRule="exact"/>
        <w:rPr>
          <w:rFonts w:hint="eastAsia" w:ascii="仿宋" w:hAnsi="仿宋" w:eastAsia="仿宋" w:cs="仿宋"/>
          <w:b/>
          <w:sz w:val="24"/>
        </w:rPr>
      </w:pPr>
      <w:bookmarkStart w:id="3" w:name="_Toc183682342"/>
      <w:bookmarkStart w:id="4" w:name="_Toc183582205"/>
      <w:bookmarkStart w:id="5" w:name="_Toc217446034"/>
      <w:r>
        <w:rPr>
          <w:rFonts w:hint="eastAsia" w:ascii="仿宋" w:hAnsi="仿宋" w:eastAsia="仿宋" w:cs="仿宋"/>
          <w:b/>
          <w:sz w:val="24"/>
        </w:rPr>
        <w:t>1</w:t>
      </w:r>
      <w:bookmarkEnd w:id="3"/>
      <w:bookmarkEnd w:id="4"/>
      <w:r>
        <w:rPr>
          <w:rFonts w:hint="eastAsia" w:ascii="仿宋" w:hAnsi="仿宋" w:eastAsia="仿宋" w:cs="仿宋"/>
          <w:b/>
          <w:sz w:val="24"/>
        </w:rPr>
        <w:t>、适用范围</w:t>
      </w:r>
      <w:bookmarkEnd w:id="5"/>
    </w:p>
    <w:p>
      <w:pPr>
        <w:spacing w:line="420" w:lineRule="exact"/>
        <w:ind w:firstLine="240" w:firstLineChars="100"/>
        <w:rPr>
          <w:rFonts w:hint="eastAsia" w:ascii="仿宋" w:hAnsi="仿宋" w:eastAsia="仿宋" w:cs="仿宋"/>
          <w:sz w:val="24"/>
        </w:rPr>
      </w:pPr>
      <w:r>
        <w:rPr>
          <w:rFonts w:hint="eastAsia" w:ascii="仿宋" w:hAnsi="仿宋" w:eastAsia="仿宋" w:cs="仿宋"/>
          <w:sz w:val="24"/>
        </w:rPr>
        <w:t>本比选文件仅适用于本次比选项目。</w:t>
      </w:r>
    </w:p>
    <w:p>
      <w:pPr>
        <w:spacing w:line="420" w:lineRule="exact"/>
        <w:rPr>
          <w:rFonts w:hint="eastAsia" w:ascii="仿宋" w:hAnsi="仿宋" w:eastAsia="仿宋" w:cs="仿宋"/>
          <w:b/>
          <w:sz w:val="24"/>
        </w:rPr>
      </w:pPr>
      <w:bookmarkStart w:id="6" w:name="_Toc183582206"/>
      <w:bookmarkStart w:id="7" w:name="_Toc183682343"/>
      <w:bookmarkStart w:id="8" w:name="_Toc217446035"/>
      <w:r>
        <w:rPr>
          <w:rFonts w:hint="eastAsia" w:ascii="仿宋" w:hAnsi="仿宋" w:eastAsia="仿宋" w:cs="仿宋"/>
          <w:b/>
          <w:sz w:val="24"/>
        </w:rPr>
        <w:t>2</w:t>
      </w:r>
      <w:bookmarkEnd w:id="6"/>
      <w:bookmarkEnd w:id="7"/>
      <w:r>
        <w:rPr>
          <w:rFonts w:hint="eastAsia" w:ascii="仿宋" w:hAnsi="仿宋" w:eastAsia="仿宋" w:cs="仿宋"/>
          <w:b/>
          <w:sz w:val="24"/>
        </w:rPr>
        <w:t>、有关定义</w:t>
      </w:r>
      <w:bookmarkEnd w:id="8"/>
    </w:p>
    <w:p>
      <w:pPr>
        <w:spacing w:line="360" w:lineRule="auto"/>
        <w:rPr>
          <w:rFonts w:hint="eastAsia" w:ascii="仿宋" w:hAnsi="仿宋" w:eastAsia="仿宋" w:cs="仿宋"/>
          <w:sz w:val="24"/>
        </w:rPr>
      </w:pPr>
      <w:r>
        <w:rPr>
          <w:rFonts w:hint="eastAsia" w:ascii="仿宋" w:hAnsi="仿宋" w:eastAsia="仿宋" w:cs="仿宋"/>
          <w:sz w:val="24"/>
        </w:rPr>
        <w:t xml:space="preserve">  2.1 “比选人”系指依法进行政府采购的国家机关、事业单位、团体组织。本次招标的比选人是</w:t>
      </w:r>
      <w:r>
        <w:rPr>
          <w:rFonts w:hint="eastAsia" w:ascii="仿宋" w:hAnsi="仿宋" w:eastAsia="仿宋" w:cs="仿宋"/>
          <w:sz w:val="24"/>
          <w:lang w:val="en-US" w:eastAsia="zh-CN"/>
        </w:rPr>
        <w:t>四川成渝高速公路股份有限公司成渝分公司成都管理处</w:t>
      </w:r>
      <w:r>
        <w:rPr>
          <w:rFonts w:hint="eastAsia" w:ascii="仿宋" w:hAnsi="仿宋" w:eastAsia="仿宋" w:cs="仿宋"/>
          <w:sz w:val="24"/>
        </w:rPr>
        <w:t>。</w:t>
      </w:r>
    </w:p>
    <w:p>
      <w:pPr>
        <w:tabs>
          <w:tab w:val="left" w:pos="7665"/>
        </w:tabs>
        <w:snapToGrid w:val="0"/>
        <w:spacing w:line="360" w:lineRule="auto"/>
        <w:rPr>
          <w:rFonts w:hint="eastAsia" w:ascii="仿宋" w:hAnsi="仿宋" w:eastAsia="仿宋" w:cs="仿宋"/>
          <w:sz w:val="24"/>
        </w:rPr>
      </w:pPr>
      <w:r>
        <w:rPr>
          <w:rFonts w:hint="eastAsia" w:ascii="仿宋" w:hAnsi="仿宋" w:eastAsia="仿宋" w:cs="仿宋"/>
          <w:sz w:val="24"/>
        </w:rPr>
        <w:t xml:space="preserve">  2.</w:t>
      </w:r>
      <w:r>
        <w:rPr>
          <w:rFonts w:hint="eastAsia" w:ascii="仿宋" w:hAnsi="仿宋" w:eastAsia="仿宋" w:cs="仿宋"/>
          <w:sz w:val="24"/>
          <w:lang w:val="en-US" w:eastAsia="zh-CN"/>
        </w:rPr>
        <w:t>2</w:t>
      </w:r>
      <w:r>
        <w:rPr>
          <w:rFonts w:hint="eastAsia" w:ascii="仿宋" w:hAnsi="仿宋" w:eastAsia="仿宋" w:cs="仿宋"/>
          <w:sz w:val="24"/>
        </w:rPr>
        <w:t>“法定责任人”是指企业投标人的法定代表人、其他组织投标人的法定负责人、个体工商户投标人的法定经营者或自然人投标人的本人等。</w:t>
      </w:r>
    </w:p>
    <w:p>
      <w:pPr>
        <w:spacing w:line="420" w:lineRule="exact"/>
        <w:jc w:val="center"/>
        <w:rPr>
          <w:rFonts w:hint="eastAsia" w:ascii="仿宋" w:hAnsi="仿宋" w:eastAsia="仿宋" w:cs="仿宋"/>
          <w:b/>
          <w:sz w:val="24"/>
        </w:rPr>
      </w:pPr>
      <w:r>
        <w:rPr>
          <w:rFonts w:hint="eastAsia" w:ascii="仿宋" w:hAnsi="仿宋" w:eastAsia="仿宋" w:cs="仿宋"/>
          <w:b/>
          <w:sz w:val="24"/>
        </w:rPr>
        <w:t>（二）比 选 文 件</w:t>
      </w:r>
    </w:p>
    <w:p>
      <w:pPr>
        <w:spacing w:line="420" w:lineRule="exact"/>
        <w:rPr>
          <w:rFonts w:hint="eastAsia" w:ascii="仿宋" w:hAnsi="仿宋" w:eastAsia="仿宋" w:cs="仿宋"/>
          <w:b/>
          <w:sz w:val="24"/>
        </w:rPr>
      </w:pPr>
      <w:r>
        <w:rPr>
          <w:rFonts w:hint="eastAsia" w:ascii="仿宋" w:hAnsi="仿宋" w:eastAsia="仿宋" w:cs="仿宋"/>
          <w:b/>
          <w:sz w:val="24"/>
        </w:rPr>
        <w:t>3、比选文件的组成</w:t>
      </w:r>
    </w:p>
    <w:p>
      <w:pPr>
        <w:spacing w:line="420" w:lineRule="exact"/>
        <w:rPr>
          <w:rFonts w:hint="eastAsia" w:ascii="仿宋" w:hAnsi="仿宋" w:eastAsia="仿宋" w:cs="仿宋"/>
          <w:sz w:val="24"/>
        </w:rPr>
      </w:pPr>
      <w:r>
        <w:rPr>
          <w:rFonts w:hint="eastAsia" w:ascii="仿宋" w:hAnsi="仿宋" w:eastAsia="仿宋" w:cs="仿宋"/>
          <w:sz w:val="24"/>
        </w:rPr>
        <w:t xml:space="preserve">  3.1比选文件包括下列内容：</w:t>
      </w:r>
    </w:p>
    <w:p>
      <w:pPr>
        <w:spacing w:line="420" w:lineRule="exact"/>
        <w:rPr>
          <w:rFonts w:hint="eastAsia" w:ascii="仿宋" w:hAnsi="仿宋" w:eastAsia="仿宋" w:cs="仿宋"/>
          <w:sz w:val="24"/>
        </w:rPr>
      </w:pPr>
      <w:r>
        <w:rPr>
          <w:rFonts w:hint="eastAsia" w:ascii="仿宋" w:hAnsi="仿宋" w:eastAsia="仿宋" w:cs="仿宋"/>
          <w:sz w:val="24"/>
        </w:rPr>
        <w:t>第一章 比选邀请书</w:t>
      </w:r>
      <w:r>
        <w:rPr>
          <w:rFonts w:hint="eastAsia" w:ascii="仿宋" w:hAnsi="仿宋" w:eastAsia="仿宋" w:cs="仿宋"/>
          <w:sz w:val="24"/>
        </w:rPr>
        <w:tab/>
      </w:r>
    </w:p>
    <w:p>
      <w:pPr>
        <w:spacing w:line="420" w:lineRule="exact"/>
        <w:rPr>
          <w:rFonts w:hint="eastAsia" w:ascii="仿宋" w:hAnsi="仿宋" w:eastAsia="仿宋" w:cs="仿宋"/>
          <w:sz w:val="24"/>
        </w:rPr>
      </w:pPr>
      <w:r>
        <w:rPr>
          <w:rFonts w:hint="eastAsia" w:ascii="仿宋" w:hAnsi="仿宋" w:eastAsia="仿宋" w:cs="仿宋"/>
          <w:sz w:val="24"/>
        </w:rPr>
        <w:t>第二章  比选须知前附表及比选须知</w:t>
      </w:r>
    </w:p>
    <w:p>
      <w:pPr>
        <w:spacing w:line="420" w:lineRule="exact"/>
        <w:rPr>
          <w:rFonts w:hint="eastAsia" w:ascii="仿宋" w:hAnsi="仿宋" w:eastAsia="仿宋" w:cs="仿宋"/>
          <w:sz w:val="24"/>
        </w:rPr>
      </w:pPr>
      <w:r>
        <w:rPr>
          <w:rFonts w:hint="eastAsia" w:ascii="仿宋" w:hAnsi="仿宋" w:eastAsia="仿宋" w:cs="仿宋"/>
          <w:sz w:val="24"/>
        </w:rPr>
        <w:t>第三章  供应商和产品的资格、资质性及其他类似效力要求</w:t>
      </w:r>
    </w:p>
    <w:p>
      <w:pPr>
        <w:spacing w:line="420" w:lineRule="exact"/>
        <w:rPr>
          <w:rFonts w:hint="eastAsia" w:ascii="仿宋" w:hAnsi="仿宋" w:eastAsia="仿宋" w:cs="仿宋"/>
          <w:sz w:val="24"/>
        </w:rPr>
      </w:pPr>
      <w:r>
        <w:rPr>
          <w:rFonts w:hint="eastAsia" w:ascii="仿宋" w:hAnsi="仿宋" w:eastAsia="仿宋" w:cs="仿宋"/>
          <w:sz w:val="24"/>
        </w:rPr>
        <w:t>第四章  供应商应当提供的资格证明材料</w:t>
      </w:r>
    </w:p>
    <w:p>
      <w:pPr>
        <w:spacing w:line="420" w:lineRule="exact"/>
        <w:rPr>
          <w:rFonts w:hint="eastAsia" w:ascii="仿宋" w:hAnsi="仿宋" w:eastAsia="仿宋" w:cs="仿宋"/>
          <w:sz w:val="24"/>
        </w:rPr>
      </w:pPr>
      <w:r>
        <w:rPr>
          <w:rFonts w:hint="eastAsia" w:ascii="仿宋" w:hAnsi="仿宋" w:eastAsia="仿宋" w:cs="仿宋"/>
          <w:sz w:val="24"/>
        </w:rPr>
        <w:t>第五章  项目概况及要求</w:t>
      </w:r>
    </w:p>
    <w:p>
      <w:pPr>
        <w:spacing w:line="420" w:lineRule="exact"/>
        <w:rPr>
          <w:rFonts w:hint="eastAsia" w:ascii="仿宋" w:hAnsi="仿宋" w:eastAsia="仿宋" w:cs="仿宋"/>
          <w:sz w:val="24"/>
        </w:rPr>
      </w:pPr>
      <w:r>
        <w:rPr>
          <w:rFonts w:hint="eastAsia" w:ascii="仿宋" w:hAnsi="仿宋" w:eastAsia="仿宋" w:cs="仿宋"/>
          <w:sz w:val="24"/>
        </w:rPr>
        <w:t>第六章  响应文件格式</w:t>
      </w:r>
    </w:p>
    <w:p>
      <w:pPr>
        <w:spacing w:line="420" w:lineRule="exact"/>
        <w:rPr>
          <w:rFonts w:hint="eastAsia" w:ascii="仿宋" w:hAnsi="仿宋" w:eastAsia="仿宋" w:cs="仿宋"/>
          <w:sz w:val="24"/>
        </w:rPr>
      </w:pPr>
      <w:r>
        <w:rPr>
          <w:rFonts w:hint="eastAsia" w:ascii="仿宋" w:hAnsi="仿宋" w:eastAsia="仿宋" w:cs="仿宋"/>
          <w:sz w:val="24"/>
        </w:rPr>
        <w:t>第七章  评审办法</w:t>
      </w:r>
    </w:p>
    <w:p>
      <w:pPr>
        <w:spacing w:line="420" w:lineRule="exact"/>
        <w:rPr>
          <w:rFonts w:hint="eastAsia" w:ascii="仿宋" w:hAnsi="仿宋" w:eastAsia="仿宋" w:cs="仿宋"/>
          <w:sz w:val="24"/>
        </w:rPr>
      </w:pPr>
      <w:r>
        <w:rPr>
          <w:rFonts w:hint="eastAsia" w:ascii="仿宋" w:hAnsi="仿宋" w:eastAsia="仿宋" w:cs="仿宋"/>
          <w:sz w:val="24"/>
        </w:rPr>
        <w:t>第八章  合同主要条款</w:t>
      </w:r>
      <w:r>
        <w:rPr>
          <w:rFonts w:hint="eastAsia" w:ascii="仿宋" w:hAnsi="仿宋" w:eastAsia="仿宋" w:cs="仿宋"/>
          <w:sz w:val="24"/>
        </w:rPr>
        <w:tab/>
      </w:r>
    </w:p>
    <w:p>
      <w:pPr>
        <w:spacing w:line="420" w:lineRule="exact"/>
        <w:rPr>
          <w:rFonts w:hint="eastAsia" w:ascii="仿宋" w:hAnsi="仿宋" w:eastAsia="仿宋" w:cs="仿宋"/>
          <w:sz w:val="24"/>
        </w:rPr>
      </w:pPr>
      <w:r>
        <w:rPr>
          <w:rFonts w:hint="eastAsia" w:ascii="仿宋" w:hAnsi="仿宋" w:eastAsia="仿宋" w:cs="仿宋"/>
          <w:sz w:val="24"/>
        </w:rPr>
        <w:t>3.2比选人在提交响应文件2日前，以书面形式发出的对比选文件的澄清或修改内容，均视为比选文件的组成部分，对比选人和供应商起约束作用。</w:t>
      </w:r>
    </w:p>
    <w:p>
      <w:pPr>
        <w:spacing w:line="360" w:lineRule="auto"/>
        <w:rPr>
          <w:rFonts w:hint="eastAsia" w:ascii="仿宋" w:hAnsi="仿宋" w:eastAsia="仿宋" w:cs="仿宋"/>
          <w:sz w:val="24"/>
        </w:rPr>
      </w:pPr>
      <w:r>
        <w:rPr>
          <w:rFonts w:hint="eastAsia" w:ascii="仿宋" w:hAnsi="仿宋" w:eastAsia="仿宋" w:cs="仿宋"/>
          <w:sz w:val="24"/>
        </w:rPr>
        <w:t xml:space="preserve">  3.3比选申请在收到比选文件时，应检查页数和内容。供应商发现任何页数或内容的遗缺、任何数字或词汇模糊不清、任何词义含混或意义不清，应立即通知比选人补全或澄清。如果供应商未按上述内容提出要求而造成不良后果，比选人及其代理机构不承担责任。</w:t>
      </w:r>
    </w:p>
    <w:p>
      <w:pPr>
        <w:spacing w:line="360" w:lineRule="auto"/>
        <w:rPr>
          <w:rFonts w:hint="eastAsia" w:ascii="仿宋" w:hAnsi="仿宋" w:eastAsia="仿宋" w:cs="仿宋"/>
          <w:sz w:val="24"/>
        </w:rPr>
      </w:pPr>
      <w:r>
        <w:rPr>
          <w:rFonts w:hint="eastAsia" w:ascii="仿宋" w:hAnsi="仿宋" w:eastAsia="仿宋" w:cs="仿宋"/>
          <w:sz w:val="24"/>
        </w:rPr>
        <w:t xml:space="preserve">  3.4比选文件及补充资料前后有矛盾的，以时间在后的为准。</w:t>
      </w:r>
    </w:p>
    <w:p>
      <w:pPr>
        <w:spacing w:line="360" w:lineRule="auto"/>
        <w:rPr>
          <w:rFonts w:hint="eastAsia" w:ascii="仿宋" w:hAnsi="仿宋" w:eastAsia="仿宋" w:cs="仿宋"/>
          <w:sz w:val="24"/>
        </w:rPr>
      </w:pPr>
    </w:p>
    <w:p>
      <w:pPr>
        <w:spacing w:line="360" w:lineRule="auto"/>
        <w:rPr>
          <w:rFonts w:hint="eastAsia" w:ascii="仿宋" w:hAnsi="仿宋" w:eastAsia="仿宋" w:cs="仿宋"/>
          <w:b/>
          <w:sz w:val="24"/>
        </w:rPr>
      </w:pPr>
      <w:r>
        <w:rPr>
          <w:rFonts w:hint="eastAsia" w:ascii="仿宋" w:hAnsi="仿宋" w:eastAsia="仿宋" w:cs="仿宋"/>
          <w:b/>
          <w:sz w:val="24"/>
        </w:rPr>
        <w:t>4、比选文件的澄清</w:t>
      </w:r>
    </w:p>
    <w:p>
      <w:pPr>
        <w:spacing w:line="360" w:lineRule="auto"/>
        <w:rPr>
          <w:rFonts w:hint="eastAsia" w:ascii="仿宋" w:hAnsi="仿宋" w:eastAsia="仿宋" w:cs="仿宋"/>
          <w:sz w:val="24"/>
        </w:rPr>
      </w:pPr>
      <w:r>
        <w:rPr>
          <w:rFonts w:hint="eastAsia" w:ascii="仿宋" w:hAnsi="仿宋" w:eastAsia="仿宋" w:cs="仿宋"/>
          <w:sz w:val="24"/>
        </w:rPr>
        <w:t xml:space="preserve">  4.1任何要求对比选文件提出澄清的供应商，在提交响应文件2日前以书面形式提出。比选人对收到的任何澄清要求，将在2日内以集中答疑的方式进行电话解答，并在答疑结束后将不标明问题来源的答复意见以书面形式传真（或供应商领取）给每一个供应商，供应商应在收到传真后24小时内以书面回函（传真）代理机构，确认已收到该答疑（补遗）文件，否则比选人及其代理机构将视为供应商已收到该文件资料。</w:t>
      </w:r>
    </w:p>
    <w:p>
      <w:pPr>
        <w:spacing w:line="360" w:lineRule="auto"/>
        <w:rPr>
          <w:rFonts w:hint="eastAsia" w:ascii="仿宋" w:hAnsi="仿宋" w:eastAsia="仿宋" w:cs="仿宋"/>
          <w:b/>
          <w:sz w:val="24"/>
        </w:rPr>
      </w:pPr>
      <w:r>
        <w:rPr>
          <w:rFonts w:hint="eastAsia" w:ascii="仿宋" w:hAnsi="仿宋" w:eastAsia="仿宋" w:cs="仿宋"/>
          <w:b/>
          <w:sz w:val="24"/>
        </w:rPr>
        <w:t>5、比选文件的修改</w:t>
      </w:r>
    </w:p>
    <w:p>
      <w:pPr>
        <w:spacing w:line="360" w:lineRule="auto"/>
        <w:rPr>
          <w:rFonts w:hint="eastAsia" w:ascii="仿宋" w:hAnsi="仿宋" w:eastAsia="仿宋" w:cs="仿宋"/>
          <w:sz w:val="24"/>
        </w:rPr>
      </w:pPr>
      <w:r>
        <w:rPr>
          <w:rFonts w:hint="eastAsia" w:ascii="仿宋" w:hAnsi="仿宋" w:eastAsia="仿宋" w:cs="仿宋"/>
          <w:sz w:val="24"/>
        </w:rPr>
        <w:t xml:space="preserve">  5.1比选人有权在比选截止时间以前的任何时候对已发出的比选文件进行必要的修改。若需进行必要的修改，将以补遗通知的方式修改比选文件。</w:t>
      </w:r>
    </w:p>
    <w:p>
      <w:pPr>
        <w:spacing w:line="360" w:lineRule="auto"/>
        <w:rPr>
          <w:rFonts w:hint="eastAsia" w:ascii="仿宋" w:hAnsi="仿宋" w:eastAsia="仿宋" w:cs="仿宋"/>
          <w:sz w:val="24"/>
        </w:rPr>
      </w:pPr>
      <w:r>
        <w:rPr>
          <w:rFonts w:hint="eastAsia" w:ascii="仿宋" w:hAnsi="仿宋" w:eastAsia="仿宋" w:cs="仿宋"/>
          <w:sz w:val="24"/>
        </w:rPr>
        <w:t xml:space="preserve">  5.2补遗通知将以书面方式发给各供应商，补遗通知作为比选文件的组成部分，对比选人起同等约束作用。</w:t>
      </w:r>
    </w:p>
    <w:p>
      <w:pPr>
        <w:spacing w:line="360" w:lineRule="auto"/>
        <w:rPr>
          <w:rFonts w:hint="eastAsia" w:ascii="仿宋" w:hAnsi="仿宋" w:eastAsia="仿宋" w:cs="仿宋"/>
          <w:sz w:val="24"/>
        </w:rPr>
      </w:pPr>
      <w:r>
        <w:rPr>
          <w:rFonts w:hint="eastAsia" w:ascii="仿宋" w:hAnsi="仿宋" w:eastAsia="仿宋" w:cs="仿宋"/>
          <w:sz w:val="24"/>
        </w:rPr>
        <w:t xml:space="preserve">  5.3为使供应商在编制响应文件时把补遗通知内容考虑进去，比选人将酌情延长递交比选文件的截止日期，具体时间将在通知中注明。</w:t>
      </w:r>
    </w:p>
    <w:p>
      <w:pPr>
        <w:spacing w:line="360" w:lineRule="auto"/>
        <w:jc w:val="center"/>
        <w:rPr>
          <w:rFonts w:hint="eastAsia" w:ascii="仿宋" w:hAnsi="仿宋" w:eastAsia="仿宋" w:cs="仿宋"/>
          <w:b/>
          <w:sz w:val="24"/>
        </w:rPr>
      </w:pPr>
      <w:r>
        <w:rPr>
          <w:rFonts w:hint="eastAsia" w:ascii="仿宋" w:hAnsi="仿宋" w:eastAsia="仿宋" w:cs="仿宋"/>
          <w:b/>
          <w:sz w:val="24"/>
        </w:rPr>
        <w:t>（三）响应文件的编制</w:t>
      </w:r>
    </w:p>
    <w:p>
      <w:pPr>
        <w:spacing w:line="360" w:lineRule="auto"/>
        <w:rPr>
          <w:rFonts w:hint="eastAsia" w:ascii="仿宋" w:hAnsi="仿宋" w:eastAsia="仿宋" w:cs="仿宋"/>
          <w:b/>
          <w:sz w:val="24"/>
        </w:rPr>
      </w:pPr>
      <w:r>
        <w:rPr>
          <w:rFonts w:hint="eastAsia" w:ascii="仿宋" w:hAnsi="仿宋" w:eastAsia="仿宋" w:cs="仿宋"/>
          <w:b/>
          <w:sz w:val="24"/>
        </w:rPr>
        <w:t>6、响应文件的组成</w:t>
      </w:r>
    </w:p>
    <w:p>
      <w:pPr>
        <w:spacing w:line="360" w:lineRule="auto"/>
        <w:rPr>
          <w:rFonts w:hint="eastAsia" w:ascii="仿宋" w:hAnsi="仿宋" w:eastAsia="仿宋" w:cs="仿宋"/>
          <w:sz w:val="24"/>
        </w:rPr>
      </w:pPr>
      <w:r>
        <w:rPr>
          <w:rFonts w:hint="eastAsia" w:ascii="仿宋" w:hAnsi="仿宋" w:eastAsia="仿宋" w:cs="仿宋"/>
          <w:sz w:val="24"/>
        </w:rPr>
        <w:t xml:space="preserve"> 6.1响应文件、供应商和比选人之间与比选有关的来往通知、函件和文件均应使用中文。</w:t>
      </w:r>
      <w:r>
        <w:rPr>
          <w:rFonts w:hint="eastAsia" w:ascii="仿宋" w:hAnsi="仿宋" w:eastAsia="仿宋" w:cs="仿宋"/>
          <w:b/>
          <w:sz w:val="24"/>
        </w:rPr>
        <w:t>（实质性要求）</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6.2、响应文件的组成</w:t>
      </w:r>
    </w:p>
    <w:p>
      <w:pPr>
        <w:spacing w:line="400" w:lineRule="exact"/>
        <w:ind w:firstLine="470" w:firstLineChars="196"/>
        <w:rPr>
          <w:rFonts w:hint="eastAsia" w:ascii="仿宋" w:hAnsi="仿宋" w:eastAsia="仿宋" w:cs="仿宋"/>
          <w:sz w:val="24"/>
        </w:rPr>
      </w:pPr>
      <w:r>
        <w:rPr>
          <w:rFonts w:hint="eastAsia" w:ascii="仿宋" w:hAnsi="仿宋" w:eastAsia="仿宋" w:cs="仿宋"/>
          <w:sz w:val="24"/>
        </w:rPr>
        <w:t>6.2.1报价部分。</w:t>
      </w:r>
      <w:r>
        <w:rPr>
          <w:rFonts w:hint="eastAsia" w:ascii="仿宋" w:hAnsi="仿宋" w:eastAsia="仿宋" w:cs="仿宋"/>
          <w:bCs/>
          <w:sz w:val="24"/>
        </w:rPr>
        <w:t>供应商</w:t>
      </w:r>
      <w:r>
        <w:rPr>
          <w:rFonts w:hint="eastAsia" w:ascii="仿宋" w:hAnsi="仿宋" w:eastAsia="仿宋" w:cs="仿宋"/>
          <w:sz w:val="24"/>
        </w:rPr>
        <w:t>按照比选文件要求填写的</w:t>
      </w:r>
      <w:r>
        <w:rPr>
          <w:rFonts w:hint="eastAsia" w:ascii="仿宋" w:hAnsi="仿宋" w:eastAsia="仿宋" w:cs="仿宋"/>
          <w:sz w:val="24"/>
          <w:lang w:val="en-US" w:eastAsia="zh-CN"/>
        </w:rPr>
        <w:t>报价</w:t>
      </w:r>
      <w:r>
        <w:rPr>
          <w:rFonts w:hint="eastAsia" w:ascii="仿宋" w:hAnsi="仿宋" w:eastAsia="仿宋" w:cs="仿宋"/>
          <w:sz w:val="24"/>
        </w:rPr>
        <w:t>。 本次比选报价要求：</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bCs/>
          <w:sz w:val="24"/>
        </w:rPr>
        <w:t>供应商</w:t>
      </w:r>
      <w:r>
        <w:rPr>
          <w:rFonts w:hint="eastAsia" w:ascii="仿宋" w:hAnsi="仿宋" w:eastAsia="仿宋" w:cs="仿宋"/>
          <w:sz w:val="24"/>
        </w:rPr>
        <w:t>的报价是</w:t>
      </w:r>
      <w:r>
        <w:rPr>
          <w:rFonts w:hint="eastAsia" w:ascii="仿宋" w:hAnsi="仿宋" w:eastAsia="仿宋" w:cs="仿宋"/>
          <w:bCs/>
          <w:sz w:val="24"/>
        </w:rPr>
        <w:t>供应商</w:t>
      </w:r>
      <w:r>
        <w:rPr>
          <w:rFonts w:hint="eastAsia" w:ascii="仿宋" w:hAnsi="仿宋" w:eastAsia="仿宋" w:cs="仿宋"/>
          <w:sz w:val="24"/>
        </w:rPr>
        <w:t>响应比选项目要求的全部工作内容的价格体现，包括</w:t>
      </w:r>
      <w:r>
        <w:rPr>
          <w:rFonts w:hint="eastAsia" w:ascii="仿宋" w:hAnsi="仿宋" w:eastAsia="仿宋" w:cs="仿宋"/>
          <w:bCs/>
          <w:sz w:val="24"/>
        </w:rPr>
        <w:t>供应商</w:t>
      </w:r>
      <w:r>
        <w:rPr>
          <w:rFonts w:hint="eastAsia" w:ascii="仿宋" w:hAnsi="仿宋" w:eastAsia="仿宋" w:cs="仿宋"/>
          <w:sz w:val="24"/>
        </w:rPr>
        <w:t>完成本项目所需的一切费用</w:t>
      </w:r>
      <w:r>
        <w:rPr>
          <w:rFonts w:hint="eastAsia" w:ascii="仿宋" w:hAnsi="仿宋" w:eastAsia="仿宋" w:cs="仿宋"/>
          <w:b/>
          <w:sz w:val="24"/>
        </w:rPr>
        <w:t>（实质性要求）。</w:t>
      </w:r>
    </w:p>
    <w:p>
      <w:pPr>
        <w:spacing w:line="400" w:lineRule="exact"/>
        <w:ind w:left="2" w:firstLine="352" w:firstLineChars="147"/>
        <w:rPr>
          <w:rFonts w:hint="eastAsia" w:ascii="仿宋" w:hAnsi="仿宋" w:eastAsia="仿宋" w:cs="仿宋"/>
          <w:b/>
          <w:sz w:val="24"/>
        </w:rPr>
      </w:pPr>
      <w:r>
        <w:rPr>
          <w:rFonts w:hint="eastAsia" w:ascii="仿宋" w:hAnsi="仿宋" w:eastAsia="仿宋" w:cs="仿宋"/>
          <w:sz w:val="24"/>
        </w:rPr>
        <w:t xml:space="preserve"> （2）</w:t>
      </w:r>
      <w:r>
        <w:rPr>
          <w:rFonts w:hint="eastAsia" w:ascii="仿宋" w:hAnsi="仿宋" w:eastAsia="仿宋" w:cs="仿宋"/>
          <w:bCs/>
          <w:sz w:val="24"/>
        </w:rPr>
        <w:t>供应商</w:t>
      </w:r>
      <w:r>
        <w:rPr>
          <w:rFonts w:hint="eastAsia" w:ascii="仿宋" w:hAnsi="仿宋" w:eastAsia="仿宋" w:cs="仿宋"/>
          <w:sz w:val="24"/>
        </w:rPr>
        <w:t>每种货物只允许有一个报价，并且在合同履行过程中是固定不变的，任何有选择或可调整的报价将不予接受，并按无效报价处理</w:t>
      </w:r>
      <w:r>
        <w:rPr>
          <w:rFonts w:hint="eastAsia" w:ascii="仿宋" w:hAnsi="仿宋" w:eastAsia="仿宋" w:cs="仿宋"/>
          <w:b/>
          <w:sz w:val="24"/>
        </w:rPr>
        <w:t>（实质性要求）。</w:t>
      </w:r>
    </w:p>
    <w:p>
      <w:pPr>
        <w:spacing w:line="400" w:lineRule="exact"/>
        <w:ind w:firstLine="470" w:firstLineChars="196"/>
        <w:rPr>
          <w:rFonts w:hint="eastAsia" w:ascii="仿宋" w:hAnsi="仿宋" w:eastAsia="仿宋" w:cs="仿宋"/>
          <w:sz w:val="24"/>
        </w:rPr>
      </w:pPr>
      <w:r>
        <w:rPr>
          <w:rFonts w:hint="eastAsia" w:ascii="仿宋" w:hAnsi="仿宋" w:eastAsia="仿宋" w:cs="仿宋"/>
          <w:sz w:val="24"/>
        </w:rPr>
        <w:t>6.2.2商务部分。供应商按照比选文件要求提供的有关文件。包括以下内容：</w:t>
      </w:r>
    </w:p>
    <w:p>
      <w:pPr>
        <w:spacing w:line="400" w:lineRule="exact"/>
        <w:ind w:left="105" w:leftChars="50" w:firstLine="361" w:firstLineChars="150"/>
        <w:rPr>
          <w:rFonts w:hint="eastAsia" w:ascii="仿宋" w:hAnsi="仿宋" w:eastAsia="仿宋" w:cs="仿宋"/>
          <w:b/>
          <w:sz w:val="24"/>
        </w:rPr>
      </w:pPr>
      <w:r>
        <w:rPr>
          <w:rFonts w:hint="eastAsia" w:ascii="仿宋" w:hAnsi="仿宋" w:eastAsia="仿宋" w:cs="仿宋"/>
          <w:b/>
          <w:sz w:val="24"/>
        </w:rPr>
        <w:t>（1）报价函；（实质性要求）</w:t>
      </w:r>
    </w:p>
    <w:p>
      <w:pPr>
        <w:spacing w:line="400" w:lineRule="exact"/>
        <w:ind w:left="105" w:leftChars="50" w:firstLine="360" w:firstLineChars="150"/>
        <w:rPr>
          <w:rFonts w:hint="eastAsia" w:ascii="仿宋" w:hAnsi="仿宋" w:eastAsia="仿宋" w:cs="仿宋"/>
          <w:sz w:val="24"/>
        </w:rPr>
      </w:pPr>
      <w:r>
        <w:rPr>
          <w:rFonts w:hint="eastAsia" w:ascii="仿宋" w:hAnsi="仿宋" w:eastAsia="仿宋" w:cs="仿宋"/>
          <w:sz w:val="24"/>
        </w:rPr>
        <w:t>（2）供应商营业执照副本复印件；</w:t>
      </w:r>
      <w:r>
        <w:rPr>
          <w:rFonts w:hint="eastAsia" w:ascii="仿宋" w:hAnsi="仿宋" w:eastAsia="仿宋" w:cs="仿宋"/>
          <w:b/>
          <w:sz w:val="24"/>
        </w:rPr>
        <w:t>（实质性要求）</w:t>
      </w:r>
    </w:p>
    <w:p>
      <w:pPr>
        <w:spacing w:line="400" w:lineRule="exact"/>
        <w:ind w:left="105" w:leftChars="50" w:firstLine="360" w:firstLineChars="150"/>
        <w:rPr>
          <w:rFonts w:hint="eastAsia" w:ascii="仿宋" w:hAnsi="仿宋" w:eastAsia="仿宋" w:cs="仿宋"/>
          <w:sz w:val="24"/>
        </w:rPr>
      </w:pPr>
      <w:r>
        <w:rPr>
          <w:rFonts w:hint="eastAsia" w:ascii="仿宋" w:hAnsi="仿宋" w:eastAsia="仿宋" w:cs="仿宋"/>
          <w:sz w:val="24"/>
        </w:rPr>
        <w:t>（3）法定代表人授权书原件；</w:t>
      </w:r>
      <w:r>
        <w:rPr>
          <w:rFonts w:hint="eastAsia" w:ascii="仿宋" w:hAnsi="仿宋" w:eastAsia="仿宋" w:cs="仿宋"/>
          <w:b/>
          <w:sz w:val="24"/>
        </w:rPr>
        <w:t>（实质性要求）</w:t>
      </w:r>
    </w:p>
    <w:p>
      <w:pPr>
        <w:spacing w:line="400" w:lineRule="exact"/>
        <w:ind w:left="105" w:leftChars="50" w:firstLine="360" w:firstLineChars="150"/>
        <w:rPr>
          <w:rFonts w:hint="eastAsia" w:ascii="仿宋" w:hAnsi="仿宋" w:eastAsia="仿宋" w:cs="仿宋"/>
          <w:b/>
          <w:sz w:val="24"/>
        </w:rPr>
      </w:pPr>
      <w:r>
        <w:rPr>
          <w:rFonts w:hint="eastAsia" w:ascii="仿宋" w:hAnsi="仿宋" w:eastAsia="仿宋" w:cs="仿宋"/>
          <w:sz w:val="24"/>
        </w:rPr>
        <w:t>（4）授权代表身份证复印件；</w:t>
      </w:r>
      <w:r>
        <w:rPr>
          <w:rFonts w:hint="eastAsia" w:ascii="仿宋" w:hAnsi="仿宋" w:eastAsia="仿宋" w:cs="仿宋"/>
          <w:b/>
          <w:sz w:val="24"/>
        </w:rPr>
        <w:t>（实质性要求）</w:t>
      </w:r>
    </w:p>
    <w:p>
      <w:pPr>
        <w:spacing w:line="400" w:lineRule="exact"/>
        <w:ind w:left="105" w:leftChars="50" w:firstLine="360" w:firstLineChars="150"/>
        <w:rPr>
          <w:rFonts w:hint="eastAsia" w:ascii="仿宋" w:hAnsi="仿宋" w:eastAsia="仿宋" w:cs="仿宋"/>
          <w:sz w:val="24"/>
        </w:rPr>
      </w:pPr>
      <w:r>
        <w:rPr>
          <w:rFonts w:hint="eastAsia" w:ascii="仿宋" w:hAnsi="仿宋" w:eastAsia="仿宋" w:cs="仿宋"/>
          <w:sz w:val="24"/>
        </w:rPr>
        <w:t>（5）供应商符合比选文件规定的资格、资质性及其他具有类似效力要求的相关证明材料；</w:t>
      </w:r>
      <w:r>
        <w:rPr>
          <w:rFonts w:hint="eastAsia" w:ascii="仿宋" w:hAnsi="仿宋" w:eastAsia="仿宋" w:cs="仿宋"/>
          <w:b/>
          <w:sz w:val="24"/>
        </w:rPr>
        <w:t>（实质性要求）</w:t>
      </w:r>
    </w:p>
    <w:p>
      <w:pPr>
        <w:spacing w:line="400" w:lineRule="exact"/>
        <w:ind w:left="105" w:leftChars="50" w:firstLine="361" w:firstLineChars="150"/>
        <w:rPr>
          <w:rFonts w:hint="eastAsia" w:ascii="仿宋" w:hAnsi="仿宋" w:eastAsia="仿宋" w:cs="仿宋"/>
          <w:b/>
          <w:sz w:val="24"/>
        </w:rPr>
      </w:pPr>
      <w:r>
        <w:rPr>
          <w:rFonts w:hint="eastAsia" w:ascii="仿宋" w:hAnsi="仿宋" w:eastAsia="仿宋" w:cs="仿宋"/>
          <w:b/>
          <w:sz w:val="24"/>
        </w:rPr>
        <w:t>（6）商务应答表；（实质性要求）</w:t>
      </w:r>
    </w:p>
    <w:p>
      <w:pPr>
        <w:spacing w:line="400" w:lineRule="exact"/>
        <w:ind w:left="105" w:leftChars="50" w:firstLine="360" w:firstLineChars="150"/>
        <w:rPr>
          <w:rFonts w:hint="eastAsia" w:ascii="仿宋" w:hAnsi="仿宋" w:eastAsia="仿宋" w:cs="仿宋"/>
          <w:b/>
          <w:sz w:val="24"/>
        </w:rPr>
      </w:pPr>
      <w:r>
        <w:rPr>
          <w:rFonts w:hint="eastAsia" w:ascii="仿宋" w:hAnsi="仿宋" w:eastAsia="仿宋" w:cs="仿宋"/>
          <w:sz w:val="24"/>
        </w:rPr>
        <w:t>（7）其他供应商认为需要提供的文件和资料。</w:t>
      </w:r>
    </w:p>
    <w:p>
      <w:pPr>
        <w:tabs>
          <w:tab w:val="left" w:pos="7665"/>
        </w:tabs>
        <w:snapToGrid w:val="0"/>
        <w:spacing w:beforeLines="100" w:afterLines="100"/>
        <w:rPr>
          <w:rFonts w:hint="eastAsia" w:ascii="仿宋" w:hAnsi="仿宋" w:eastAsia="仿宋" w:cs="仿宋"/>
          <w:b/>
          <w:sz w:val="24"/>
        </w:rPr>
      </w:pPr>
      <w:r>
        <w:rPr>
          <w:rFonts w:hint="eastAsia" w:ascii="仿宋" w:hAnsi="仿宋" w:eastAsia="仿宋" w:cs="仿宋"/>
          <w:b/>
          <w:sz w:val="24"/>
        </w:rPr>
        <w:t>7、</w:t>
      </w:r>
      <w:bookmarkStart w:id="9" w:name="_Toc183682355"/>
      <w:bookmarkStart w:id="10" w:name="_Toc217446049"/>
      <w:bookmarkStart w:id="11" w:name="_Toc183582218"/>
      <w:bookmarkStart w:id="12" w:name="_Toc308164799"/>
      <w:r>
        <w:rPr>
          <w:rFonts w:hint="eastAsia" w:ascii="仿宋" w:hAnsi="仿宋" w:eastAsia="仿宋" w:cs="仿宋"/>
          <w:b/>
          <w:sz w:val="24"/>
        </w:rPr>
        <w:t>比选申请书格式</w:t>
      </w:r>
      <w:bookmarkEnd w:id="9"/>
      <w:bookmarkEnd w:id="10"/>
      <w:bookmarkEnd w:id="11"/>
      <w:bookmarkEnd w:id="12"/>
    </w:p>
    <w:p>
      <w:pPr>
        <w:tabs>
          <w:tab w:val="left" w:pos="7665"/>
        </w:tabs>
        <w:spacing w:line="400" w:lineRule="exact"/>
        <w:ind w:left="13" w:leftChars="6" w:firstLine="480" w:firstLineChars="200"/>
        <w:rPr>
          <w:rFonts w:hint="eastAsia" w:ascii="仿宋" w:hAnsi="仿宋" w:eastAsia="仿宋" w:cs="仿宋"/>
          <w:sz w:val="24"/>
        </w:rPr>
      </w:pPr>
      <w:r>
        <w:rPr>
          <w:rFonts w:hint="eastAsia" w:ascii="仿宋" w:hAnsi="仿宋" w:eastAsia="仿宋" w:cs="仿宋"/>
          <w:sz w:val="24"/>
        </w:rPr>
        <w:t>7.1供应商应执行比选文件第六章的规定要求。</w:t>
      </w:r>
    </w:p>
    <w:p>
      <w:pPr>
        <w:tabs>
          <w:tab w:val="left" w:pos="7665"/>
        </w:tabs>
        <w:spacing w:line="400" w:lineRule="exact"/>
        <w:ind w:left="13" w:leftChars="6" w:firstLine="480" w:firstLineChars="200"/>
        <w:rPr>
          <w:rFonts w:hint="eastAsia" w:ascii="仿宋" w:hAnsi="仿宋" w:eastAsia="仿宋" w:cs="仿宋"/>
          <w:sz w:val="24"/>
        </w:rPr>
      </w:pPr>
      <w:r>
        <w:rPr>
          <w:rFonts w:hint="eastAsia" w:ascii="仿宋" w:hAnsi="仿宋" w:eastAsia="仿宋" w:cs="仿宋"/>
          <w:sz w:val="24"/>
        </w:rPr>
        <w:t>7.2对于没有格式要求的响应文件由供应商自行编写。</w:t>
      </w:r>
    </w:p>
    <w:p>
      <w:pPr>
        <w:tabs>
          <w:tab w:val="left" w:pos="7665"/>
        </w:tabs>
        <w:spacing w:line="400" w:lineRule="exact"/>
        <w:ind w:left="13" w:leftChars="6" w:firstLine="480" w:firstLineChars="200"/>
        <w:rPr>
          <w:rFonts w:hint="eastAsia" w:ascii="仿宋" w:hAnsi="仿宋" w:eastAsia="仿宋" w:cs="仿宋"/>
          <w:sz w:val="24"/>
        </w:rPr>
      </w:pPr>
      <w:r>
        <w:rPr>
          <w:rFonts w:hint="eastAsia" w:ascii="仿宋" w:hAnsi="仿宋" w:eastAsia="仿宋" w:cs="仿宋"/>
          <w:sz w:val="24"/>
        </w:rPr>
        <w:t>7.3 比选所制投标文件格式，除格式中明确将该格式作为实质性要求的，一律不具有强制性。格式要求不作为响应文件内容要求。</w:t>
      </w:r>
    </w:p>
    <w:p>
      <w:pPr>
        <w:spacing w:line="360" w:lineRule="auto"/>
        <w:rPr>
          <w:rFonts w:hint="eastAsia" w:ascii="仿宋" w:hAnsi="仿宋" w:eastAsia="仿宋" w:cs="仿宋"/>
          <w:b/>
          <w:sz w:val="24"/>
        </w:rPr>
      </w:pPr>
      <w:r>
        <w:rPr>
          <w:rFonts w:hint="eastAsia" w:ascii="仿宋" w:hAnsi="仿宋" w:eastAsia="仿宋" w:cs="仿宋"/>
          <w:b/>
          <w:sz w:val="24"/>
        </w:rPr>
        <w:t>8、比选截止时间的延迟</w:t>
      </w:r>
    </w:p>
    <w:p>
      <w:pPr>
        <w:spacing w:line="360" w:lineRule="auto"/>
        <w:rPr>
          <w:rFonts w:hint="eastAsia" w:ascii="仿宋" w:hAnsi="仿宋" w:eastAsia="仿宋" w:cs="仿宋"/>
          <w:sz w:val="24"/>
        </w:rPr>
      </w:pPr>
      <w:r>
        <w:rPr>
          <w:rFonts w:hint="eastAsia" w:ascii="仿宋" w:hAnsi="仿宋" w:eastAsia="仿宋" w:cs="仿宋"/>
          <w:sz w:val="24"/>
        </w:rPr>
        <w:t xml:space="preserve">    在原定比选截止时间之前，如果出现特殊情况，比选截止时间需要延迟，比选人将以书面形式通知供应商延迟后的比选截止时间。供应商须在24小时内以书面形式予以确认，供应商也可以不与确认放弃比选。</w:t>
      </w:r>
    </w:p>
    <w:p>
      <w:pPr>
        <w:spacing w:line="360" w:lineRule="auto"/>
        <w:rPr>
          <w:rFonts w:hint="eastAsia" w:ascii="仿宋" w:hAnsi="仿宋" w:eastAsia="仿宋" w:cs="仿宋"/>
          <w:b/>
          <w:sz w:val="24"/>
        </w:rPr>
      </w:pPr>
      <w:r>
        <w:rPr>
          <w:rFonts w:hint="eastAsia" w:ascii="仿宋" w:hAnsi="仿宋" w:eastAsia="仿宋" w:cs="仿宋"/>
          <w:b/>
          <w:sz w:val="24"/>
        </w:rPr>
        <w:t>9、响应文件的份数和签署</w:t>
      </w:r>
    </w:p>
    <w:p>
      <w:pPr>
        <w:spacing w:line="360" w:lineRule="auto"/>
        <w:rPr>
          <w:rFonts w:hint="eastAsia" w:ascii="仿宋" w:hAnsi="仿宋" w:eastAsia="仿宋" w:cs="仿宋"/>
          <w:sz w:val="24"/>
        </w:rPr>
      </w:pPr>
      <w:r>
        <w:rPr>
          <w:rFonts w:hint="eastAsia" w:ascii="仿宋" w:hAnsi="仿宋" w:eastAsia="仿宋" w:cs="仿宋"/>
          <w:sz w:val="24"/>
        </w:rPr>
        <w:t xml:space="preserve"> 9.1供应商按本须知第7条规定，编制一份响应文件“正本”和要求份数的“副本”，并在响应文件封面右上角明确标明“正本”和“副本”。响应文件正本和比选文件副本如有不一致之处，以正本为准。</w:t>
      </w:r>
    </w:p>
    <w:p>
      <w:pPr>
        <w:spacing w:line="360" w:lineRule="auto"/>
        <w:rPr>
          <w:rFonts w:hint="eastAsia" w:ascii="仿宋" w:hAnsi="仿宋" w:eastAsia="仿宋" w:cs="仿宋"/>
          <w:sz w:val="24"/>
        </w:rPr>
      </w:pPr>
      <w:r>
        <w:rPr>
          <w:rFonts w:hint="eastAsia" w:ascii="仿宋" w:hAnsi="仿宋" w:eastAsia="仿宋" w:cs="仿宋"/>
          <w:sz w:val="24"/>
        </w:rPr>
        <w:t xml:space="preserve"> 9.2响应文件均需打印，由供应商的法定代表人或其授权的代理人签章，并将授权委托书附在其内。响应文件中的任何签署页，都要由供应商的法定代表人或其授权的代理人签字或盖章。</w:t>
      </w:r>
    </w:p>
    <w:p>
      <w:pPr>
        <w:spacing w:line="360" w:lineRule="auto"/>
        <w:rPr>
          <w:rFonts w:hint="eastAsia" w:ascii="仿宋" w:hAnsi="仿宋" w:eastAsia="仿宋" w:cs="仿宋"/>
          <w:sz w:val="24"/>
        </w:rPr>
      </w:pPr>
      <w:r>
        <w:rPr>
          <w:rFonts w:hint="eastAsia" w:ascii="仿宋" w:hAnsi="仿宋" w:eastAsia="仿宋" w:cs="仿宋"/>
          <w:sz w:val="24"/>
        </w:rPr>
        <w:t xml:space="preserve"> 9.3除供应商对错处作必要修改外，响应文件中不许有加行、涂抹或改写。若有修改须由响应文件签署人进行签字或盖章。</w:t>
      </w:r>
    </w:p>
    <w:p>
      <w:pPr>
        <w:spacing w:line="360" w:lineRule="auto"/>
        <w:rPr>
          <w:rFonts w:hint="eastAsia" w:ascii="仿宋" w:hAnsi="仿宋" w:eastAsia="仿宋" w:cs="仿宋"/>
          <w:sz w:val="24"/>
        </w:rPr>
      </w:pPr>
      <w:r>
        <w:rPr>
          <w:rFonts w:hint="eastAsia" w:ascii="仿宋" w:hAnsi="仿宋" w:eastAsia="仿宋" w:cs="仿宋"/>
          <w:sz w:val="24"/>
        </w:rPr>
        <w:t xml:space="preserve"> 9.4电话、传真及电子邮件形式的响应文件概不接受。</w:t>
      </w:r>
    </w:p>
    <w:p>
      <w:pPr>
        <w:spacing w:line="360" w:lineRule="auto"/>
        <w:rPr>
          <w:rFonts w:hint="eastAsia" w:ascii="仿宋" w:hAnsi="仿宋" w:eastAsia="仿宋" w:cs="仿宋"/>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（四）响应文件的递交</w:t>
      </w:r>
    </w:p>
    <w:p>
      <w:pPr>
        <w:spacing w:line="360" w:lineRule="auto"/>
        <w:rPr>
          <w:rFonts w:hint="eastAsia"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lang w:val="en-US" w:eastAsia="zh-CN"/>
        </w:rPr>
        <w:t>0</w:t>
      </w:r>
      <w:r>
        <w:rPr>
          <w:rFonts w:hint="eastAsia" w:ascii="仿宋" w:hAnsi="仿宋" w:eastAsia="仿宋" w:cs="仿宋"/>
          <w:b/>
          <w:sz w:val="24"/>
        </w:rPr>
        <w:t>、响应文件的装订、密封与标志</w:t>
      </w:r>
    </w:p>
    <w:p>
      <w:pPr>
        <w:spacing w:line="360" w:lineRule="auto"/>
        <w:rPr>
          <w:rFonts w:hint="eastAsia" w:ascii="仿宋" w:hAnsi="仿宋" w:eastAsia="仿宋" w:cs="仿宋"/>
          <w:sz w:val="24"/>
        </w:rPr>
      </w:pPr>
      <w:r>
        <w:rPr>
          <w:rFonts w:hint="eastAsia" w:ascii="仿宋" w:hAnsi="仿宋" w:eastAsia="仿宋" w:cs="仿宋"/>
          <w:sz w:val="24"/>
        </w:rPr>
        <w:t xml:space="preserve"> 1</w:t>
      </w:r>
      <w:r>
        <w:rPr>
          <w:rFonts w:hint="eastAsia" w:ascii="仿宋" w:hAnsi="仿宋" w:eastAsia="仿宋" w:cs="仿宋"/>
          <w:sz w:val="24"/>
          <w:lang w:val="en-US" w:eastAsia="zh-CN"/>
        </w:rPr>
        <w:t>0</w:t>
      </w:r>
      <w:r>
        <w:rPr>
          <w:rFonts w:hint="eastAsia" w:ascii="仿宋" w:hAnsi="仿宋" w:eastAsia="仿宋" w:cs="仿宋"/>
          <w:sz w:val="24"/>
        </w:rPr>
        <w:t>.1在响应文件的密封袋上应标明比选项目名称、响应文件、供应商名称并加盖供应商公章或密封章。</w:t>
      </w:r>
    </w:p>
    <w:p>
      <w:pPr>
        <w:tabs>
          <w:tab w:val="left" w:pos="7665"/>
        </w:tabs>
        <w:spacing w:line="360" w:lineRule="auto"/>
        <w:ind w:left="13" w:leftChars="6" w:firstLine="120" w:firstLineChars="5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.2投标文件应当包括“响应文件”（正副本）。上述资料应当分别分类密封递交。</w:t>
      </w:r>
    </w:p>
    <w:p>
      <w:pPr>
        <w:spacing w:line="360" w:lineRule="auto"/>
        <w:rPr>
          <w:rFonts w:hint="eastAsia"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lang w:val="en-US" w:eastAsia="zh-CN"/>
        </w:rPr>
        <w:t>1</w:t>
      </w:r>
      <w:r>
        <w:rPr>
          <w:rFonts w:hint="eastAsia" w:ascii="仿宋" w:hAnsi="仿宋" w:eastAsia="仿宋" w:cs="仿宋"/>
          <w:b/>
          <w:sz w:val="24"/>
        </w:rPr>
        <w:t>、响应文件的递交</w:t>
      </w:r>
    </w:p>
    <w:p>
      <w:pPr>
        <w:spacing w:line="360" w:lineRule="auto"/>
        <w:rPr>
          <w:rFonts w:hint="eastAsia" w:ascii="仿宋" w:hAnsi="仿宋" w:eastAsia="仿宋" w:cs="仿宋"/>
          <w:b/>
          <w:sz w:val="24"/>
        </w:rPr>
      </w:pPr>
      <w:r>
        <w:rPr>
          <w:rFonts w:hint="eastAsia" w:ascii="仿宋" w:hAnsi="仿宋" w:eastAsia="仿宋" w:cs="仿宋"/>
          <w:sz w:val="24"/>
        </w:rPr>
        <w:t xml:space="preserve">  供应商应在比选文件规定的比选截止时间前，将响应文件按比选文件的规定密封后送达比选地点。逾期送达或者未按照比选文件要求密封的响应文件，比选代理机构应当拒收。</w:t>
      </w:r>
      <w:r>
        <w:rPr>
          <w:rFonts w:hint="eastAsia" w:ascii="仿宋" w:hAnsi="仿宋" w:eastAsia="仿宋" w:cs="仿宋"/>
          <w:b/>
          <w:sz w:val="24"/>
        </w:rPr>
        <w:t>（实质性要求）</w:t>
      </w:r>
    </w:p>
    <w:p>
      <w:pPr>
        <w:spacing w:line="360" w:lineRule="auto"/>
        <w:rPr>
          <w:rFonts w:hint="eastAsia" w:ascii="仿宋" w:hAnsi="仿宋" w:eastAsia="仿宋" w:cs="仿宋"/>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（五）比选</w:t>
      </w:r>
    </w:p>
    <w:p>
      <w:pPr>
        <w:spacing w:line="360" w:lineRule="auto"/>
        <w:rPr>
          <w:rFonts w:hint="eastAsia"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lang w:val="en-US" w:eastAsia="zh-CN"/>
        </w:rPr>
        <w:t>2</w:t>
      </w:r>
      <w:r>
        <w:rPr>
          <w:rFonts w:hint="eastAsia" w:ascii="仿宋" w:hAnsi="仿宋" w:eastAsia="仿宋" w:cs="仿宋"/>
          <w:b/>
          <w:sz w:val="24"/>
        </w:rPr>
        <w:t>、比选</w:t>
      </w:r>
    </w:p>
    <w:p>
      <w:pPr>
        <w:spacing w:line="360" w:lineRule="auto"/>
        <w:rPr>
          <w:rFonts w:hint="eastAsia" w:ascii="仿宋" w:hAnsi="仿宋" w:eastAsia="仿宋" w:cs="仿宋"/>
          <w:sz w:val="24"/>
        </w:rPr>
      </w:pPr>
      <w:r>
        <w:rPr>
          <w:rFonts w:hint="eastAsia" w:ascii="仿宋" w:hAnsi="仿宋" w:eastAsia="仿宋" w:cs="仿宋"/>
          <w:sz w:val="24"/>
        </w:rPr>
        <w:t xml:space="preserve">  1</w:t>
      </w:r>
      <w:r>
        <w:rPr>
          <w:rFonts w:hint="eastAsia" w:ascii="仿宋" w:hAnsi="仿宋" w:eastAsia="仿宋" w:cs="仿宋"/>
          <w:sz w:val="24"/>
          <w:lang w:val="en-US" w:eastAsia="zh-CN"/>
        </w:rPr>
        <w:t>2</w:t>
      </w:r>
      <w:r>
        <w:rPr>
          <w:rFonts w:hint="eastAsia" w:ascii="仿宋" w:hAnsi="仿宋" w:eastAsia="仿宋" w:cs="仿宋"/>
          <w:sz w:val="24"/>
        </w:rPr>
        <w:t>.1比选人将在“比选须知”规定的时间和地点举行比选。比选顺序以递交响应文件的先后顺序进行。</w:t>
      </w:r>
    </w:p>
    <w:p>
      <w:pPr>
        <w:spacing w:line="360" w:lineRule="auto"/>
        <w:rPr>
          <w:rFonts w:hint="eastAsia" w:ascii="仿宋" w:hAnsi="仿宋" w:eastAsia="仿宋" w:cs="仿宋"/>
          <w:sz w:val="24"/>
        </w:rPr>
      </w:pPr>
      <w:r>
        <w:rPr>
          <w:rFonts w:hint="eastAsia" w:ascii="仿宋" w:hAnsi="仿宋" w:eastAsia="仿宋" w:cs="仿宋"/>
          <w:sz w:val="24"/>
        </w:rPr>
        <w:t xml:space="preserve">  1</w:t>
      </w:r>
      <w:r>
        <w:rPr>
          <w:rFonts w:hint="eastAsia" w:ascii="仿宋" w:hAnsi="仿宋" w:eastAsia="仿宋" w:cs="仿宋"/>
          <w:sz w:val="24"/>
          <w:lang w:val="en-US" w:eastAsia="zh-CN"/>
        </w:rPr>
        <w:t>2</w:t>
      </w:r>
      <w:r>
        <w:rPr>
          <w:rFonts w:hint="eastAsia" w:ascii="仿宋" w:hAnsi="仿宋" w:eastAsia="仿宋" w:cs="仿宋"/>
          <w:sz w:val="24"/>
        </w:rPr>
        <w:t>.2比选由比选人组织并主持</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（六）评审</w:t>
      </w:r>
    </w:p>
    <w:p>
      <w:pPr>
        <w:spacing w:line="360" w:lineRule="auto"/>
        <w:rPr>
          <w:rFonts w:hint="eastAsia"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lang w:val="en-US" w:eastAsia="zh-CN"/>
        </w:rPr>
        <w:t>3</w:t>
      </w:r>
      <w:r>
        <w:rPr>
          <w:rFonts w:hint="eastAsia" w:ascii="仿宋" w:hAnsi="仿宋" w:eastAsia="仿宋" w:cs="仿宋"/>
          <w:b/>
          <w:sz w:val="24"/>
        </w:rPr>
        <w:t>、评审</w:t>
      </w:r>
    </w:p>
    <w:p>
      <w:pPr>
        <w:spacing w:line="360" w:lineRule="auto"/>
        <w:rPr>
          <w:rFonts w:hint="eastAsia" w:ascii="仿宋" w:hAnsi="仿宋" w:eastAsia="仿宋" w:cs="仿宋"/>
          <w:sz w:val="24"/>
        </w:rPr>
      </w:pPr>
      <w:r>
        <w:rPr>
          <w:rFonts w:hint="eastAsia" w:ascii="仿宋" w:hAnsi="仿宋" w:eastAsia="仿宋" w:cs="仿宋"/>
          <w:sz w:val="24"/>
        </w:rPr>
        <w:t xml:space="preserve">  1</w:t>
      </w:r>
      <w:r>
        <w:rPr>
          <w:rFonts w:hint="eastAsia" w:ascii="仿宋" w:hAnsi="仿宋" w:eastAsia="仿宋" w:cs="仿宋"/>
          <w:sz w:val="24"/>
          <w:lang w:val="en-US" w:eastAsia="zh-CN"/>
        </w:rPr>
        <w:t>3</w:t>
      </w:r>
      <w:r>
        <w:rPr>
          <w:rFonts w:hint="eastAsia" w:ascii="仿宋" w:hAnsi="仿宋" w:eastAsia="仿宋" w:cs="仿宋"/>
          <w:sz w:val="24"/>
        </w:rPr>
        <w:t>.1评审原则：遵循公平、公正、诚实信用、科学择优的原则。</w:t>
      </w:r>
    </w:p>
    <w:p>
      <w:pPr>
        <w:spacing w:line="360" w:lineRule="auto"/>
        <w:rPr>
          <w:rFonts w:hint="eastAsia" w:ascii="仿宋" w:hAnsi="仿宋" w:eastAsia="仿宋" w:cs="仿宋"/>
          <w:sz w:val="24"/>
        </w:rPr>
      </w:pPr>
      <w:r>
        <w:rPr>
          <w:rFonts w:hint="eastAsia" w:ascii="仿宋" w:hAnsi="仿宋" w:eastAsia="仿宋" w:cs="仿宋"/>
          <w:sz w:val="24"/>
        </w:rPr>
        <w:t xml:space="preserve">  1</w:t>
      </w:r>
      <w:r>
        <w:rPr>
          <w:rFonts w:hint="eastAsia" w:ascii="仿宋" w:hAnsi="仿宋" w:eastAsia="仿宋" w:cs="仿宋"/>
          <w:sz w:val="24"/>
          <w:lang w:val="en-US" w:eastAsia="zh-CN"/>
        </w:rPr>
        <w:t>3</w:t>
      </w:r>
      <w:r>
        <w:rPr>
          <w:rFonts w:hint="eastAsia" w:ascii="仿宋" w:hAnsi="仿宋" w:eastAsia="仿宋" w:cs="仿宋"/>
          <w:sz w:val="24"/>
        </w:rPr>
        <w:t>.2评审工作由评审委员会负责。</w:t>
      </w:r>
    </w:p>
    <w:p>
      <w:pPr>
        <w:spacing w:line="360" w:lineRule="auto"/>
        <w:rPr>
          <w:rFonts w:hint="eastAsia" w:ascii="仿宋" w:hAnsi="仿宋" w:eastAsia="仿宋" w:cs="仿宋"/>
          <w:sz w:val="24"/>
        </w:rPr>
      </w:pPr>
      <w:r>
        <w:rPr>
          <w:rFonts w:hint="eastAsia" w:ascii="仿宋" w:hAnsi="仿宋" w:eastAsia="仿宋" w:cs="仿宋"/>
          <w:sz w:val="24"/>
        </w:rPr>
        <w:t xml:space="preserve">  1</w:t>
      </w:r>
      <w:r>
        <w:rPr>
          <w:rFonts w:hint="eastAsia" w:ascii="仿宋" w:hAnsi="仿宋" w:eastAsia="仿宋" w:cs="仿宋"/>
          <w:sz w:val="24"/>
          <w:lang w:val="en-US" w:eastAsia="zh-CN"/>
        </w:rPr>
        <w:t>3</w:t>
      </w:r>
      <w:r>
        <w:rPr>
          <w:rFonts w:hint="eastAsia" w:ascii="仿宋" w:hAnsi="仿宋" w:eastAsia="仿宋" w:cs="仿宋"/>
          <w:sz w:val="24"/>
        </w:rPr>
        <w:t>.3比选的保密</w:t>
      </w:r>
    </w:p>
    <w:p>
      <w:pPr>
        <w:spacing w:line="360" w:lineRule="auto"/>
        <w:rPr>
          <w:rFonts w:hint="eastAsia" w:ascii="仿宋" w:hAnsi="仿宋" w:eastAsia="仿宋" w:cs="仿宋"/>
          <w:sz w:val="24"/>
        </w:rPr>
      </w:pPr>
      <w:r>
        <w:rPr>
          <w:rFonts w:hint="eastAsia" w:ascii="仿宋" w:hAnsi="仿宋" w:eastAsia="仿宋" w:cs="仿宋"/>
          <w:sz w:val="24"/>
        </w:rPr>
        <w:t xml:space="preserve">    1</w:t>
      </w:r>
      <w:r>
        <w:rPr>
          <w:rFonts w:hint="eastAsia" w:ascii="仿宋" w:hAnsi="仿宋" w:eastAsia="仿宋" w:cs="仿宋"/>
          <w:sz w:val="24"/>
          <w:lang w:val="en-US" w:eastAsia="zh-CN"/>
        </w:rPr>
        <w:t>3</w:t>
      </w:r>
      <w:r>
        <w:rPr>
          <w:rFonts w:hint="eastAsia" w:ascii="仿宋" w:hAnsi="仿宋" w:eastAsia="仿宋" w:cs="仿宋"/>
          <w:sz w:val="24"/>
        </w:rPr>
        <w:t>.3.1凡属于对响应文件的审查、澄清、评价和比较的有关资料及中选人的推荐情况，与比选有关的其它任何情况均严格保密。</w:t>
      </w:r>
    </w:p>
    <w:p>
      <w:pPr>
        <w:spacing w:line="360" w:lineRule="auto"/>
        <w:ind w:firstLine="48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.3.2在响应文件的评审和比较、中选候选人推荐以及授予合同的过程中，供应商向评审委员会施加影响的任何行为，都将会导致取消其比选资格。</w:t>
      </w:r>
    </w:p>
    <w:p>
      <w:pPr>
        <w:spacing w:line="360" w:lineRule="auto"/>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.4评审方法：</w:t>
      </w:r>
    </w:p>
    <w:p>
      <w:pPr>
        <w:spacing w:line="360" w:lineRule="auto"/>
        <w:ind w:firstLine="480"/>
        <w:rPr>
          <w:rFonts w:hint="eastAsia" w:ascii="仿宋" w:hAnsi="仿宋" w:eastAsia="仿宋" w:cs="仿宋"/>
          <w:sz w:val="24"/>
        </w:rPr>
      </w:pPr>
      <w:r>
        <w:rPr>
          <w:rFonts w:hint="eastAsia" w:ascii="仿宋" w:hAnsi="仿宋" w:eastAsia="仿宋" w:cs="仿宋"/>
          <w:sz w:val="24"/>
        </w:rPr>
        <w:t>本次评审采用</w:t>
      </w:r>
      <w:r>
        <w:rPr>
          <w:rFonts w:hint="eastAsia" w:ascii="仿宋" w:hAnsi="仿宋" w:eastAsia="仿宋" w:cs="仿宋"/>
          <w:sz w:val="24"/>
          <w:lang w:val="en-US" w:eastAsia="zh-CN"/>
        </w:rPr>
        <w:t>最低评标价法</w:t>
      </w:r>
      <w:r>
        <w:rPr>
          <w:rFonts w:hint="eastAsia" w:ascii="仿宋" w:hAnsi="仿宋" w:eastAsia="仿宋" w:cs="仿宋"/>
          <w:sz w:val="24"/>
        </w:rPr>
        <w:t>。本办法中没有规定的标准和方法不作为评审的依据。</w:t>
      </w:r>
    </w:p>
    <w:p>
      <w:pPr>
        <w:spacing w:line="360" w:lineRule="auto"/>
        <w:rPr>
          <w:rFonts w:hint="eastAsia"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lang w:val="en-US" w:eastAsia="zh-CN"/>
        </w:rPr>
        <w:t>4</w:t>
      </w:r>
      <w:r>
        <w:rPr>
          <w:rFonts w:hint="eastAsia" w:ascii="仿宋" w:hAnsi="仿宋" w:eastAsia="仿宋" w:cs="仿宋"/>
          <w:b/>
          <w:sz w:val="24"/>
        </w:rPr>
        <w:t>、评审结果的确定</w:t>
      </w:r>
    </w:p>
    <w:p>
      <w:pPr>
        <w:spacing w:line="360" w:lineRule="auto"/>
        <w:ind w:firstLine="420"/>
        <w:rPr>
          <w:rFonts w:hint="eastAsia" w:ascii="仿宋" w:hAnsi="仿宋" w:eastAsia="仿宋" w:cs="仿宋"/>
          <w:sz w:val="24"/>
        </w:rPr>
      </w:pPr>
      <w:r>
        <w:rPr>
          <w:rFonts w:hint="eastAsia" w:ascii="仿宋" w:hAnsi="仿宋" w:eastAsia="仿宋" w:cs="仿宋"/>
          <w:sz w:val="24"/>
        </w:rPr>
        <w:t>评审委员会在完成评审后，向比选人提出书面排序表，比选人将确定排名第一的供应商为</w:t>
      </w:r>
      <w:r>
        <w:rPr>
          <w:rFonts w:hint="eastAsia" w:ascii="仿宋" w:hAnsi="仿宋" w:eastAsia="仿宋" w:cs="仿宋"/>
          <w:sz w:val="24"/>
          <w:lang w:val="en-US" w:eastAsia="zh-CN"/>
        </w:rPr>
        <w:t>中标候选人，并进行公示</w:t>
      </w:r>
      <w:r>
        <w:rPr>
          <w:rFonts w:hint="eastAsia" w:ascii="仿宋" w:hAnsi="仿宋" w:eastAsia="仿宋" w:cs="仿宋"/>
          <w:sz w:val="24"/>
        </w:rPr>
        <w:t>。</w:t>
      </w:r>
    </w:p>
    <w:p>
      <w:pPr>
        <w:spacing w:line="360" w:lineRule="auto"/>
        <w:rPr>
          <w:rFonts w:hint="eastAsia"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lang w:val="en-US" w:eastAsia="zh-CN"/>
        </w:rPr>
        <w:t>5</w:t>
      </w:r>
      <w:r>
        <w:rPr>
          <w:rFonts w:hint="eastAsia" w:ascii="仿宋" w:hAnsi="仿宋" w:eastAsia="仿宋" w:cs="仿宋"/>
          <w:b/>
          <w:sz w:val="24"/>
        </w:rPr>
        <w:t>、中选</w:t>
      </w:r>
    </w:p>
    <w:p>
      <w:pPr>
        <w:spacing w:line="360" w:lineRule="auto"/>
        <w:ind w:firstLine="420"/>
        <w:rPr>
          <w:rFonts w:hint="eastAsia" w:ascii="仿宋" w:hAnsi="仿宋" w:eastAsia="仿宋" w:cs="仿宋"/>
          <w:sz w:val="24"/>
        </w:rPr>
      </w:pPr>
      <w:r>
        <w:rPr>
          <w:rFonts w:hint="eastAsia" w:ascii="仿宋" w:hAnsi="仿宋" w:eastAsia="仿宋" w:cs="仿宋"/>
          <w:sz w:val="24"/>
        </w:rPr>
        <w:t>比选人将在比选会后</w:t>
      </w:r>
      <w:r>
        <w:rPr>
          <w:rFonts w:hint="eastAsia" w:ascii="仿宋" w:hAnsi="仿宋" w:eastAsia="仿宋" w:cs="仿宋"/>
          <w:sz w:val="24"/>
          <w:lang w:val="en-US" w:eastAsia="zh-CN"/>
        </w:rPr>
        <w:t>3</w:t>
      </w:r>
      <w:r>
        <w:rPr>
          <w:rFonts w:hint="eastAsia" w:ascii="仿宋" w:hAnsi="仿宋" w:eastAsia="仿宋" w:cs="仿宋"/>
          <w:sz w:val="24"/>
        </w:rPr>
        <w:t>个工作日内确定</w:t>
      </w:r>
      <w:r>
        <w:rPr>
          <w:rFonts w:hint="eastAsia" w:ascii="仿宋" w:hAnsi="仿宋" w:eastAsia="仿宋" w:cs="仿宋"/>
          <w:sz w:val="24"/>
          <w:lang w:eastAsia="zh-CN"/>
        </w:rPr>
        <w:t>中选</w:t>
      </w:r>
      <w:r>
        <w:rPr>
          <w:rFonts w:hint="eastAsia" w:ascii="仿宋" w:hAnsi="仿宋" w:eastAsia="仿宋" w:cs="仿宋"/>
          <w:sz w:val="24"/>
        </w:rPr>
        <w:t>供应商，并向中选人发出</w:t>
      </w:r>
      <w:r>
        <w:rPr>
          <w:rFonts w:hint="eastAsia" w:ascii="仿宋" w:hAnsi="仿宋" w:eastAsia="仿宋" w:cs="仿宋"/>
          <w:sz w:val="24"/>
          <w:lang w:eastAsia="zh-CN"/>
        </w:rPr>
        <w:t>中选</w:t>
      </w:r>
      <w:r>
        <w:rPr>
          <w:rFonts w:hint="eastAsia" w:ascii="仿宋" w:hAnsi="仿宋" w:eastAsia="仿宋" w:cs="仿宋"/>
          <w:sz w:val="24"/>
        </w:rPr>
        <w:t>通知书，</w:t>
      </w:r>
      <w:r>
        <w:rPr>
          <w:rFonts w:hint="eastAsia" w:ascii="仿宋" w:hAnsi="仿宋" w:eastAsia="仿宋" w:cs="仿宋"/>
          <w:sz w:val="24"/>
          <w:lang w:eastAsia="zh-CN"/>
        </w:rPr>
        <w:t>中选</w:t>
      </w:r>
      <w:r>
        <w:rPr>
          <w:rFonts w:hint="eastAsia" w:ascii="仿宋" w:hAnsi="仿宋" w:eastAsia="仿宋" w:cs="仿宋"/>
          <w:sz w:val="24"/>
        </w:rPr>
        <w:t>通知书是合同文件的组成部分。</w:t>
      </w:r>
    </w:p>
    <w:p>
      <w:pPr>
        <w:spacing w:line="360" w:lineRule="auto"/>
        <w:ind w:firstLine="420"/>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（七）合同签订</w:t>
      </w:r>
    </w:p>
    <w:p>
      <w:pPr>
        <w:spacing w:line="360" w:lineRule="auto"/>
        <w:rPr>
          <w:rFonts w:hint="eastAsia"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lang w:val="en-US" w:eastAsia="zh-CN"/>
        </w:rPr>
        <w:t>6</w:t>
      </w:r>
      <w:r>
        <w:rPr>
          <w:rFonts w:hint="eastAsia" w:ascii="仿宋" w:hAnsi="仿宋" w:eastAsia="仿宋" w:cs="仿宋"/>
          <w:b/>
          <w:sz w:val="24"/>
        </w:rPr>
        <w:t>、合同签订</w:t>
      </w:r>
    </w:p>
    <w:p>
      <w:pPr>
        <w:spacing w:line="360" w:lineRule="auto"/>
        <w:rPr>
          <w:rFonts w:hint="eastAsia" w:ascii="仿宋" w:hAnsi="仿宋" w:eastAsia="仿宋" w:cs="仿宋"/>
        </w:rPr>
      </w:pPr>
      <w:r>
        <w:rPr>
          <w:rFonts w:hint="eastAsia" w:ascii="仿宋" w:hAnsi="仿宋" w:eastAsia="仿宋" w:cs="仿宋"/>
          <w:sz w:val="24"/>
        </w:rPr>
        <w:t xml:space="preserve">  17.1</w:t>
      </w:r>
      <w:r>
        <w:rPr>
          <w:rFonts w:hint="eastAsia" w:ascii="仿宋" w:hAnsi="仿宋" w:eastAsia="仿宋" w:cs="仿宋"/>
          <w:sz w:val="24"/>
          <w:lang w:eastAsia="zh-CN"/>
        </w:rPr>
        <w:t>中选</w:t>
      </w:r>
      <w:r>
        <w:rPr>
          <w:rFonts w:hint="eastAsia" w:ascii="仿宋" w:hAnsi="仿宋" w:eastAsia="仿宋" w:cs="仿宋"/>
          <w:sz w:val="24"/>
        </w:rPr>
        <w:t>通知书发出之日起30日内，比选人与中选人签订合同。</w:t>
      </w:r>
      <w:bookmarkStart w:id="13" w:name="_Toc469324719"/>
      <w:bookmarkStart w:id="14" w:name="_Toc469324647"/>
      <w:bookmarkStart w:id="15" w:name="_Toc477957403"/>
      <w:r>
        <w:rPr>
          <w:rFonts w:hint="eastAsia" w:ascii="仿宋" w:hAnsi="仿宋" w:eastAsia="仿宋" w:cs="仿宋"/>
          <w:b/>
          <w:sz w:val="32"/>
          <w:szCs w:val="32"/>
        </w:rPr>
        <w:br w:type="page"/>
      </w:r>
    </w:p>
    <w:p>
      <w:pPr>
        <w:jc w:val="center"/>
        <w:rPr>
          <w:rFonts w:hint="eastAsia" w:ascii="仿宋" w:hAnsi="仿宋" w:eastAsia="仿宋" w:cs="仿宋"/>
          <w:b/>
          <w:sz w:val="32"/>
          <w:szCs w:val="32"/>
        </w:rPr>
      </w:pPr>
      <w:r>
        <w:rPr>
          <w:rFonts w:hint="eastAsia" w:ascii="仿宋" w:hAnsi="仿宋" w:eastAsia="仿宋" w:cs="仿宋"/>
          <w:b/>
          <w:sz w:val="32"/>
          <w:szCs w:val="32"/>
        </w:rPr>
        <w:t>第三章   供应商</w:t>
      </w:r>
      <w:bookmarkEnd w:id="13"/>
      <w:bookmarkEnd w:id="14"/>
      <w:r>
        <w:rPr>
          <w:rFonts w:hint="eastAsia" w:ascii="仿宋" w:hAnsi="仿宋" w:eastAsia="仿宋" w:cs="仿宋"/>
          <w:b/>
          <w:sz w:val="32"/>
          <w:szCs w:val="32"/>
        </w:rPr>
        <w:t>和产品的资格、资质性及</w:t>
      </w:r>
      <w:bookmarkEnd w:id="15"/>
    </w:p>
    <w:p>
      <w:pPr>
        <w:pStyle w:val="4"/>
        <w:snapToGrid w:val="0"/>
        <w:spacing w:beforeLines="100" w:afterLines="100" w:line="240" w:lineRule="auto"/>
        <w:jc w:val="center"/>
        <w:rPr>
          <w:rFonts w:hint="eastAsia" w:ascii="仿宋" w:hAnsi="仿宋" w:eastAsia="仿宋" w:cs="仿宋"/>
          <w:sz w:val="32"/>
          <w:szCs w:val="32"/>
        </w:rPr>
      </w:pPr>
      <w:bookmarkStart w:id="16" w:name="_Toc477957404"/>
      <w:r>
        <w:rPr>
          <w:rFonts w:hint="eastAsia" w:ascii="仿宋" w:hAnsi="仿宋" w:eastAsia="仿宋" w:cs="仿宋"/>
          <w:sz w:val="32"/>
          <w:szCs w:val="32"/>
        </w:rPr>
        <w:t>其他类似效力要求</w:t>
      </w:r>
      <w:bookmarkEnd w:id="16"/>
    </w:p>
    <w:p>
      <w:pPr>
        <w:tabs>
          <w:tab w:val="left" w:pos="7665"/>
        </w:tabs>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一、供应商资格、资质性及其他类似效力要求</w:t>
      </w:r>
    </w:p>
    <w:p>
      <w:pPr>
        <w:pStyle w:val="61"/>
        <w:ind w:firstLine="480"/>
        <w:rPr>
          <w:rFonts w:hint="eastAsia" w:ascii="仿宋" w:hAnsi="仿宋" w:eastAsia="仿宋" w:cs="仿宋"/>
          <w:color w:val="000000"/>
        </w:rPr>
      </w:pPr>
      <w:r>
        <w:rPr>
          <w:rFonts w:hint="eastAsia" w:ascii="仿宋" w:hAnsi="仿宋" w:eastAsia="仿宋" w:cs="仿宋"/>
          <w:color w:val="000000"/>
        </w:rPr>
        <w:t>1.</w:t>
      </w:r>
      <w:r>
        <w:rPr>
          <w:rFonts w:hint="eastAsia" w:ascii="仿宋" w:hAnsi="仿宋" w:eastAsia="仿宋" w:cs="仿宋"/>
        </w:rPr>
        <w:t>报价单位或企业营业执照复印件</w:t>
      </w:r>
      <w:r>
        <w:rPr>
          <w:rFonts w:hint="eastAsia" w:ascii="仿宋" w:hAnsi="仿宋" w:eastAsia="仿宋" w:cs="仿宋"/>
          <w:color w:val="000000"/>
        </w:rPr>
        <w:t>；</w:t>
      </w:r>
    </w:p>
    <w:p>
      <w:pPr>
        <w:pStyle w:val="61"/>
        <w:ind w:firstLine="480"/>
        <w:rPr>
          <w:rFonts w:hint="eastAsia" w:ascii="仿宋" w:hAnsi="仿宋" w:eastAsia="仿宋" w:cs="仿宋"/>
          <w:color w:val="auto"/>
        </w:rPr>
      </w:pPr>
      <w:r>
        <w:rPr>
          <w:rFonts w:hint="eastAsia" w:ascii="仿宋" w:hAnsi="仿宋" w:eastAsia="仿宋" w:cs="仿宋"/>
          <w:color w:val="auto"/>
        </w:rPr>
        <w:t>2.法定责任人授权书；</w:t>
      </w:r>
    </w:p>
    <w:p>
      <w:pPr>
        <w:pStyle w:val="61"/>
        <w:ind w:firstLine="480"/>
        <w:rPr>
          <w:rFonts w:hint="eastAsia" w:ascii="仿宋" w:hAnsi="仿宋" w:eastAsia="仿宋" w:cs="仿宋"/>
          <w:color w:val="auto"/>
        </w:rPr>
      </w:pPr>
      <w:r>
        <w:rPr>
          <w:rFonts w:hint="eastAsia" w:ascii="仿宋" w:hAnsi="仿宋" w:eastAsia="仿宋" w:cs="仿宋"/>
          <w:color w:val="auto"/>
        </w:rPr>
        <w:t>3.本项目不接受供应商以联合体形式申请比选。</w:t>
      </w:r>
    </w:p>
    <w:p>
      <w:pPr>
        <w:tabs>
          <w:tab w:val="left" w:pos="7665"/>
        </w:tabs>
        <w:snapToGrid w:val="0"/>
        <w:spacing w:line="360" w:lineRule="auto"/>
        <w:ind w:firstLine="482" w:firstLineChars="200"/>
        <w:rPr>
          <w:rFonts w:hint="eastAsia" w:ascii="仿宋" w:hAnsi="仿宋" w:eastAsia="仿宋" w:cs="仿宋"/>
          <w:b/>
          <w:bCs w:val="0"/>
          <w:color w:val="auto"/>
          <w:sz w:val="24"/>
        </w:rPr>
      </w:pPr>
    </w:p>
    <w:p>
      <w:pPr>
        <w:tabs>
          <w:tab w:val="left" w:pos="7665"/>
        </w:tabs>
        <w:snapToGrid w:val="0"/>
        <w:spacing w:line="360" w:lineRule="auto"/>
        <w:ind w:firstLine="482" w:firstLineChars="200"/>
        <w:rPr>
          <w:rFonts w:hint="eastAsia" w:ascii="仿宋" w:hAnsi="仿宋" w:eastAsia="仿宋" w:cs="仿宋"/>
          <w:b/>
          <w:bCs w:val="0"/>
          <w:sz w:val="24"/>
        </w:rPr>
      </w:pPr>
      <w:r>
        <w:rPr>
          <w:rFonts w:hint="eastAsia" w:ascii="仿宋" w:hAnsi="仿宋" w:eastAsia="仿宋" w:cs="仿宋"/>
          <w:b/>
          <w:bCs w:val="0"/>
          <w:color w:val="auto"/>
          <w:sz w:val="24"/>
        </w:rPr>
        <w:t>二、比选产品的资格、资质性及其</w:t>
      </w:r>
      <w:r>
        <w:rPr>
          <w:rFonts w:hint="eastAsia" w:ascii="仿宋" w:hAnsi="仿宋" w:eastAsia="仿宋" w:cs="仿宋"/>
          <w:b/>
          <w:bCs w:val="0"/>
          <w:sz w:val="24"/>
        </w:rPr>
        <w:t>他类似效力要求</w:t>
      </w:r>
    </w:p>
    <w:p>
      <w:pPr>
        <w:pStyle w:val="53"/>
        <w:snapToGrid w:val="0"/>
        <w:ind w:firstLine="481" w:firstLineChars="0"/>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1、所需资质：二类或二类以上汽车维护、修理，汽车配件销售。（以上经营范围不含国家法律、国务院决定禁止或限制的项目，依法须批准的项目，经相关部门批准后方可开展经营活动）</w:t>
      </w:r>
    </w:p>
    <w:p>
      <w:pPr>
        <w:pStyle w:val="53"/>
        <w:snapToGrid w:val="0"/>
        <w:ind w:firstLine="481" w:firstLineChars="0"/>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2、其他：提供至少一个近五年相关类似项目业绩作为参考（提供合同协议书、维修清单或验收单）。</w:t>
      </w:r>
    </w:p>
    <w:p>
      <w:pPr>
        <w:pStyle w:val="53"/>
        <w:snapToGrid w:val="0"/>
        <w:ind w:firstLine="481" w:firstLineChars="0"/>
        <w:rPr>
          <w:rFonts w:hint="default" w:ascii="仿宋" w:hAnsi="仿宋" w:eastAsia="仿宋" w:cs="仿宋"/>
          <w:b w:val="0"/>
          <w:bCs/>
          <w:sz w:val="24"/>
          <w:lang w:val="en-US" w:eastAsia="zh-CN"/>
        </w:rPr>
      </w:pPr>
    </w:p>
    <w:p>
      <w:pPr>
        <w:spacing w:line="360" w:lineRule="auto"/>
        <w:jc w:val="center"/>
        <w:rPr>
          <w:rFonts w:hint="eastAsia" w:ascii="仿宋" w:hAnsi="仿宋" w:eastAsia="仿宋" w:cs="仿宋"/>
          <w:b/>
          <w:sz w:val="32"/>
          <w:szCs w:val="32"/>
        </w:rPr>
      </w:pPr>
      <w:r>
        <w:rPr>
          <w:rFonts w:hint="eastAsia" w:ascii="仿宋" w:hAnsi="仿宋" w:eastAsia="仿宋" w:cs="仿宋"/>
        </w:rPr>
        <w:br w:type="page"/>
      </w:r>
      <w:bookmarkStart w:id="17" w:name="_Toc477957405"/>
      <w:r>
        <w:rPr>
          <w:rFonts w:hint="eastAsia" w:ascii="仿宋" w:hAnsi="仿宋" w:eastAsia="仿宋" w:cs="仿宋"/>
          <w:b/>
          <w:sz w:val="32"/>
          <w:szCs w:val="32"/>
        </w:rPr>
        <w:t>第四章  供应商应当提供的资格证明材料</w:t>
      </w:r>
      <w:bookmarkEnd w:id="17"/>
    </w:p>
    <w:p>
      <w:pPr>
        <w:tabs>
          <w:tab w:val="left" w:pos="7665"/>
        </w:tabs>
        <w:snapToGrid w:val="0"/>
        <w:spacing w:beforeLines="100" w:afterLines="100"/>
        <w:rPr>
          <w:rFonts w:hint="eastAsia" w:ascii="仿宋" w:hAnsi="仿宋" w:eastAsia="仿宋" w:cs="仿宋"/>
          <w:b/>
          <w:sz w:val="24"/>
        </w:rPr>
      </w:pPr>
      <w:r>
        <w:rPr>
          <w:rFonts w:hint="eastAsia" w:ascii="仿宋" w:hAnsi="仿宋" w:eastAsia="仿宋" w:cs="仿宋"/>
          <w:b/>
          <w:sz w:val="24"/>
        </w:rPr>
        <w:t>一、应当提供的供应商资格、资质性及其他类似效力要求的相关证明材料</w:t>
      </w:r>
    </w:p>
    <w:p>
      <w:pPr>
        <w:pStyle w:val="53"/>
        <w:ind w:firstLine="480"/>
        <w:rPr>
          <w:rFonts w:hint="eastAsia" w:ascii="仿宋" w:hAnsi="仿宋" w:eastAsia="仿宋" w:cs="仿宋"/>
          <w:sz w:val="24"/>
        </w:rPr>
      </w:pPr>
      <w:r>
        <w:rPr>
          <w:rFonts w:hint="eastAsia" w:ascii="仿宋" w:hAnsi="仿宋" w:eastAsia="仿宋" w:cs="仿宋"/>
          <w:sz w:val="24"/>
        </w:rPr>
        <w:t>（一）《中华人民共和国政府采购法》第二十二条第一款第（一）至（六）规定的条件：</w:t>
      </w:r>
    </w:p>
    <w:p>
      <w:pPr>
        <w:spacing w:line="360" w:lineRule="auto"/>
        <w:ind w:firstLine="463" w:firstLineChars="192"/>
        <w:rPr>
          <w:rFonts w:hint="eastAsia" w:ascii="仿宋" w:hAnsi="仿宋" w:eastAsia="仿宋" w:cs="仿宋"/>
          <w:sz w:val="24"/>
        </w:rPr>
      </w:pPr>
      <w:r>
        <w:rPr>
          <w:rFonts w:hint="eastAsia" w:ascii="仿宋" w:hAnsi="仿宋" w:eastAsia="仿宋" w:cs="仿宋"/>
          <w:b/>
          <w:sz w:val="24"/>
        </w:rPr>
        <w:t>（1）具有独立承担民事责任的能力。</w:t>
      </w:r>
      <w:r>
        <w:rPr>
          <w:rFonts w:hint="eastAsia" w:ascii="仿宋" w:hAnsi="仿宋" w:eastAsia="仿宋" w:cs="仿宋"/>
          <w:sz w:val="24"/>
        </w:rPr>
        <w:t>（注：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复印件）。</w:t>
      </w:r>
    </w:p>
    <w:p>
      <w:pPr>
        <w:pStyle w:val="53"/>
        <w:ind w:firstLine="480"/>
        <w:rPr>
          <w:rFonts w:hint="eastAsia" w:ascii="仿宋" w:hAnsi="仿宋" w:eastAsia="仿宋" w:cs="仿宋"/>
          <w:sz w:val="24"/>
        </w:rPr>
      </w:pPr>
      <w:r>
        <w:rPr>
          <w:rFonts w:hint="eastAsia" w:ascii="仿宋" w:hAnsi="仿宋" w:eastAsia="仿宋" w:cs="仿宋"/>
          <w:sz w:val="24"/>
        </w:rPr>
        <w:t>（二）其他类似效力要求：</w:t>
      </w:r>
    </w:p>
    <w:p>
      <w:pPr>
        <w:spacing w:line="360" w:lineRule="auto"/>
        <w:ind w:firstLine="463" w:firstLineChars="192"/>
        <w:rPr>
          <w:rFonts w:hint="eastAsia" w:ascii="仿宋" w:hAnsi="仿宋" w:eastAsia="仿宋" w:cs="仿宋"/>
          <w:sz w:val="24"/>
        </w:rPr>
      </w:pPr>
      <w:r>
        <w:rPr>
          <w:rFonts w:hint="eastAsia" w:ascii="仿宋" w:hAnsi="仿宋" w:eastAsia="仿宋" w:cs="仿宋"/>
          <w:b/>
          <w:sz w:val="24"/>
        </w:rPr>
        <w:t>（1）法定责任人授权书</w:t>
      </w:r>
      <w:r>
        <w:rPr>
          <w:rFonts w:hint="eastAsia" w:ascii="仿宋" w:hAnsi="仿宋" w:eastAsia="仿宋" w:cs="仿宋"/>
          <w:sz w:val="24"/>
        </w:rPr>
        <w:t>（原件）（法定责任人参与</w:t>
      </w:r>
      <w:r>
        <w:rPr>
          <w:rFonts w:hint="eastAsia" w:ascii="仿宋" w:hAnsi="仿宋" w:eastAsia="仿宋" w:cs="仿宋"/>
          <w:sz w:val="24"/>
          <w:lang w:eastAsia="zh-CN"/>
        </w:rPr>
        <w:t>比选</w:t>
      </w:r>
      <w:r>
        <w:rPr>
          <w:rFonts w:hint="eastAsia" w:ascii="仿宋" w:hAnsi="仿宋" w:eastAsia="仿宋" w:cs="仿宋"/>
          <w:sz w:val="24"/>
        </w:rPr>
        <w:t>时不需要提供）；</w:t>
      </w:r>
    </w:p>
    <w:p>
      <w:pPr>
        <w:spacing w:line="360" w:lineRule="auto"/>
        <w:ind w:firstLine="463" w:firstLineChars="192"/>
        <w:rPr>
          <w:rFonts w:hint="eastAsia" w:ascii="仿宋" w:hAnsi="仿宋" w:eastAsia="仿宋" w:cs="仿宋"/>
          <w:sz w:val="24"/>
        </w:rPr>
      </w:pPr>
      <w:r>
        <w:rPr>
          <w:rFonts w:hint="eastAsia" w:ascii="仿宋" w:hAnsi="仿宋" w:eastAsia="仿宋" w:cs="仿宋"/>
          <w:b/>
          <w:sz w:val="24"/>
        </w:rPr>
        <w:t>（2）法定责任人和授权代表的身份证</w:t>
      </w:r>
      <w:r>
        <w:rPr>
          <w:rFonts w:hint="eastAsia" w:ascii="仿宋" w:hAnsi="仿宋" w:eastAsia="仿宋" w:cs="仿宋"/>
          <w:sz w:val="24"/>
        </w:rPr>
        <w:t>（双面，复印件）；</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r>
        <w:rPr>
          <w:rFonts w:hint="eastAsia" w:ascii="仿宋" w:hAnsi="仿宋" w:eastAsia="仿宋" w:cs="仿宋"/>
          <w:sz w:val="24"/>
        </w:rPr>
        <w:t>说明：</w:t>
      </w:r>
    </w:p>
    <w:p>
      <w:pPr>
        <w:snapToGrid w:val="0"/>
        <w:spacing w:line="360" w:lineRule="auto"/>
        <w:ind w:firstLine="460" w:firstLineChars="192"/>
        <w:rPr>
          <w:rFonts w:hint="eastAsia" w:ascii="仿宋" w:hAnsi="仿宋" w:eastAsia="仿宋" w:cs="仿宋"/>
          <w:sz w:val="24"/>
        </w:rPr>
      </w:pPr>
      <w:r>
        <w:rPr>
          <w:rFonts w:hint="eastAsia" w:ascii="仿宋" w:hAnsi="仿宋" w:eastAsia="仿宋" w:cs="仿宋"/>
          <w:sz w:val="24"/>
        </w:rPr>
        <w:t>（1）供应商提供的以上资格证明材料为复印件的均应加盖供应商公章。</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bCs/>
          <w:sz w:val="24"/>
        </w:rPr>
        <w:t>（2）</w:t>
      </w:r>
      <w:r>
        <w:rPr>
          <w:rFonts w:hint="eastAsia" w:ascii="仿宋" w:hAnsi="仿宋" w:eastAsia="仿宋" w:cs="仿宋"/>
          <w:sz w:val="24"/>
        </w:rPr>
        <w:t>供应商应对其所提供的资格证明材料来源的合法性、真实性负责。</w:t>
      </w:r>
    </w:p>
    <w:p>
      <w:pPr>
        <w:pStyle w:val="4"/>
        <w:snapToGrid w:val="0"/>
        <w:spacing w:beforeLines="100" w:afterLines="100" w:line="240" w:lineRule="auto"/>
        <w:jc w:val="center"/>
        <w:rPr>
          <w:rFonts w:hint="eastAsia" w:ascii="仿宋" w:hAnsi="仿宋" w:eastAsia="仿宋" w:cs="仿宋"/>
          <w:sz w:val="32"/>
          <w:szCs w:val="32"/>
        </w:rPr>
      </w:pPr>
      <w:r>
        <w:rPr>
          <w:rFonts w:hint="eastAsia" w:ascii="仿宋" w:hAnsi="仿宋" w:eastAsia="仿宋" w:cs="仿宋"/>
          <w:b w:val="0"/>
          <w:sz w:val="24"/>
          <w:szCs w:val="24"/>
        </w:rPr>
        <w:br w:type="page"/>
      </w:r>
      <w:bookmarkStart w:id="18" w:name="_Toc477957406"/>
      <w:r>
        <w:rPr>
          <w:rFonts w:hint="eastAsia" w:ascii="仿宋" w:hAnsi="仿宋" w:eastAsia="仿宋" w:cs="仿宋"/>
          <w:sz w:val="32"/>
          <w:szCs w:val="32"/>
        </w:rPr>
        <w:t xml:space="preserve">第五章  </w:t>
      </w:r>
      <w:bookmarkEnd w:id="18"/>
      <w:r>
        <w:rPr>
          <w:rFonts w:hint="eastAsia" w:ascii="仿宋" w:hAnsi="仿宋" w:eastAsia="仿宋" w:cs="仿宋"/>
          <w:sz w:val="32"/>
          <w:szCs w:val="32"/>
        </w:rPr>
        <w:t>技术、商务及其他要求</w:t>
      </w:r>
    </w:p>
    <w:p>
      <w:pPr>
        <w:pStyle w:val="61"/>
        <w:snapToGrid w:val="0"/>
        <w:spacing w:before="240" w:beforeLines="100" w:after="120" w:afterLines="50" w:line="360" w:lineRule="exact"/>
        <w:ind w:firstLine="482"/>
        <w:rPr>
          <w:rFonts w:hint="eastAsia" w:ascii="仿宋" w:hAnsi="仿宋" w:eastAsia="仿宋" w:cs="仿宋"/>
          <w:b/>
        </w:rPr>
      </w:pPr>
      <w:bookmarkStart w:id="19" w:name="_Toc217446094"/>
      <w:bookmarkStart w:id="20" w:name="_Toc477957407"/>
      <w:r>
        <w:rPr>
          <w:rFonts w:hint="eastAsia" w:ascii="仿宋" w:hAnsi="仿宋" w:eastAsia="仿宋" w:cs="仿宋"/>
          <w:b/>
        </w:rPr>
        <w:t>一、项目概述</w:t>
      </w:r>
      <w:bookmarkEnd w:id="19"/>
      <w:r>
        <w:rPr>
          <w:rFonts w:hint="eastAsia" w:ascii="仿宋" w:hAnsi="仿宋" w:eastAsia="仿宋" w:cs="仿宋"/>
        </w:rPr>
        <w:t>（采购需求）</w:t>
      </w:r>
    </w:p>
    <w:p>
      <w:pPr>
        <w:pStyle w:val="61"/>
        <w:snapToGrid w:val="0"/>
        <w:spacing w:after="120" w:afterLines="50" w:line="360" w:lineRule="exact"/>
        <w:ind w:firstLine="480"/>
        <w:rPr>
          <w:rFonts w:hint="eastAsia" w:ascii="仿宋" w:hAnsi="仿宋" w:eastAsia="仿宋" w:cs="仿宋"/>
        </w:rPr>
      </w:pPr>
      <w:bookmarkStart w:id="21" w:name="_Toc217446095"/>
      <w:r>
        <w:rPr>
          <w:rFonts w:hint="eastAsia" w:ascii="仿宋" w:hAnsi="仿宋" w:eastAsia="仿宋" w:cs="仿宋"/>
        </w:rPr>
        <w:t>1、</w:t>
      </w:r>
      <w:r>
        <w:rPr>
          <w:rFonts w:hint="eastAsia" w:ascii="仿宋" w:hAnsi="仿宋" w:eastAsia="仿宋" w:cs="仿宋"/>
          <w:lang w:eastAsia="zh-CN"/>
        </w:rPr>
        <w:t>四川成渝高速公路股份有限公司成渝分公司成都管理处</w:t>
      </w:r>
      <w:r>
        <w:rPr>
          <w:rFonts w:hint="eastAsia" w:ascii="仿宋" w:hAnsi="仿宋" w:eastAsia="仿宋" w:cs="仿宋"/>
        </w:rPr>
        <w:t>现以</w:t>
      </w:r>
      <w:r>
        <w:rPr>
          <w:rFonts w:hint="eastAsia" w:ascii="仿宋" w:hAnsi="仿宋" w:eastAsia="仿宋" w:cs="仿宋"/>
          <w:lang w:val="en-US" w:eastAsia="zh-CN"/>
        </w:rPr>
        <w:t>比选</w:t>
      </w:r>
      <w:r>
        <w:rPr>
          <w:rFonts w:hint="eastAsia" w:ascii="仿宋" w:hAnsi="仿宋" w:eastAsia="仿宋" w:cs="仿宋"/>
        </w:rPr>
        <w:t>的采购方式确定</w:t>
      </w:r>
      <w:r>
        <w:rPr>
          <w:rFonts w:hint="eastAsia" w:ascii="仿宋" w:hAnsi="仿宋" w:eastAsia="仿宋" w:cs="仿宋"/>
          <w:lang w:val="en-US" w:eastAsia="zh-CN"/>
        </w:rPr>
        <w:t>3</w:t>
      </w:r>
      <w:r>
        <w:rPr>
          <w:rFonts w:hint="eastAsia" w:ascii="仿宋" w:hAnsi="仿宋" w:eastAsia="仿宋" w:cs="仿宋"/>
        </w:rPr>
        <w:t>家服务商为其提供年度车辆定点维修保养服务，本项目共分为</w:t>
      </w:r>
      <w:r>
        <w:rPr>
          <w:rFonts w:hint="eastAsia" w:ascii="仿宋" w:hAnsi="仿宋" w:eastAsia="仿宋" w:cs="仿宋"/>
          <w:lang w:val="en-US" w:eastAsia="zh-CN"/>
        </w:rPr>
        <w:t>3</w:t>
      </w:r>
      <w:r>
        <w:rPr>
          <w:rFonts w:hint="eastAsia" w:ascii="仿宋" w:hAnsi="仿宋" w:eastAsia="仿宋" w:cs="仿宋"/>
        </w:rPr>
        <w:t>个</w:t>
      </w:r>
      <w:r>
        <w:rPr>
          <w:rFonts w:hint="eastAsia" w:ascii="仿宋" w:hAnsi="仿宋" w:eastAsia="仿宋" w:cs="仿宋"/>
          <w:lang w:val="en-US" w:eastAsia="zh-CN"/>
        </w:rPr>
        <w:t>标段</w:t>
      </w:r>
      <w:r>
        <w:rPr>
          <w:rFonts w:hint="eastAsia" w:ascii="仿宋" w:hAnsi="仿宋" w:eastAsia="仿宋" w:cs="仿宋"/>
        </w:rPr>
        <w:t>。</w:t>
      </w:r>
    </w:p>
    <w:p>
      <w:pPr>
        <w:pStyle w:val="61"/>
        <w:snapToGrid w:val="0"/>
        <w:spacing w:after="120" w:afterLines="50" w:line="360" w:lineRule="exact"/>
        <w:ind w:firstLine="480"/>
        <w:rPr>
          <w:rFonts w:hint="eastAsia" w:ascii="仿宋" w:hAnsi="仿宋" w:eastAsia="仿宋" w:cs="仿宋"/>
          <w:b/>
          <w:bCs/>
          <w:lang w:val="en-US" w:eastAsia="zh-CN"/>
        </w:rPr>
      </w:pPr>
      <w:r>
        <w:rPr>
          <w:rFonts w:hint="eastAsia" w:ascii="仿宋" w:hAnsi="仿宋" w:eastAsia="仿宋" w:cs="仿宋"/>
          <w:b/>
          <w:bCs/>
          <w:lang w:val="en-US" w:eastAsia="zh-CN"/>
        </w:rPr>
        <w:t>1.1标段1：成都处成都片区车辆定点维修</w:t>
      </w:r>
    </w:p>
    <w:tbl>
      <w:tblPr>
        <w:tblStyle w:val="20"/>
        <w:tblpPr w:leftFromText="180" w:rightFromText="180" w:vertAnchor="text" w:horzAnchor="page" w:tblpXSpec="center" w:tblpY="473"/>
        <w:tblOverlap w:val="never"/>
        <w:tblW w:w="81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1"/>
        <w:gridCol w:w="870"/>
        <w:gridCol w:w="1829"/>
        <w:gridCol w:w="1290"/>
        <w:gridCol w:w="915"/>
        <w:gridCol w:w="1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51"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设备名称</w:t>
            </w:r>
          </w:p>
        </w:tc>
        <w:tc>
          <w:tcPr>
            <w:tcW w:w="870"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品牌</w:t>
            </w:r>
          </w:p>
        </w:tc>
        <w:tc>
          <w:tcPr>
            <w:tcW w:w="1829"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型号</w:t>
            </w:r>
          </w:p>
        </w:tc>
        <w:tc>
          <w:tcPr>
            <w:tcW w:w="2205" w:type="dxa"/>
            <w:gridSpan w:val="2"/>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业主估算价（元）</w:t>
            </w:r>
          </w:p>
        </w:tc>
        <w:tc>
          <w:tcPr>
            <w:tcW w:w="1450"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51"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sz w:val="24"/>
                <w:szCs w:val="24"/>
              </w:rPr>
            </w:pPr>
          </w:p>
        </w:tc>
        <w:tc>
          <w:tcPr>
            <w:tcW w:w="870"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sz w:val="24"/>
                <w:szCs w:val="24"/>
              </w:rPr>
            </w:pPr>
          </w:p>
        </w:tc>
        <w:tc>
          <w:tcPr>
            <w:tcW w:w="1829"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sz w:val="24"/>
                <w:szCs w:val="24"/>
              </w:rPr>
            </w:pPr>
          </w:p>
        </w:tc>
        <w:tc>
          <w:tcPr>
            <w:tcW w:w="1290"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常规保养</w:t>
            </w:r>
          </w:p>
        </w:tc>
        <w:tc>
          <w:tcPr>
            <w:tcW w:w="915"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二级保养</w:t>
            </w:r>
          </w:p>
        </w:tc>
        <w:tc>
          <w:tcPr>
            <w:tcW w:w="1450"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小型轿车</w:t>
            </w:r>
          </w:p>
        </w:tc>
        <w:tc>
          <w:tcPr>
            <w:tcW w:w="870"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红旗牌</w:t>
            </w:r>
          </w:p>
        </w:tc>
        <w:tc>
          <w:tcPr>
            <w:tcW w:w="1829"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CA720AT</w:t>
            </w:r>
          </w:p>
        </w:tc>
        <w:tc>
          <w:tcPr>
            <w:tcW w:w="1290"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600</w:t>
            </w:r>
          </w:p>
        </w:tc>
        <w:tc>
          <w:tcPr>
            <w:tcW w:w="915"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690</w:t>
            </w:r>
          </w:p>
        </w:tc>
        <w:tc>
          <w:tcPr>
            <w:tcW w:w="1450" w:type="dxa"/>
            <w:tcBorders>
              <w:tl2br w:val="nil"/>
              <w:tr2bl w:val="nil"/>
            </w:tcBorders>
            <w:noWrap w:val="0"/>
            <w:tcMar>
              <w:top w:w="10" w:type="dxa"/>
              <w:left w:w="10" w:type="dxa"/>
              <w:right w:w="10" w:type="dxa"/>
            </w:tcMar>
            <w:vAlign w:val="center"/>
          </w:tcPr>
          <w:p>
            <w:pPr>
              <w:spacing w:line="240" w:lineRule="atLeas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川A7WJ38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小型轿车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大众牌</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FV7166FAMGG</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600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700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川A3029U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小型轿车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大众牌</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FV7167FAMGG</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600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700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川A6523U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小型汽车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速腾牌</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FVF7166G</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600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700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川A6523U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小型汽车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朗逸牌</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SVW7167NSD</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600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700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川A9381T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小型汽车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凯美瑞</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GTM7200GB</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600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700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川A7819T</w:t>
            </w:r>
          </w:p>
        </w:tc>
      </w:tr>
    </w:tbl>
    <w:p>
      <w:pPr>
        <w:pStyle w:val="61"/>
        <w:snapToGrid w:val="0"/>
        <w:spacing w:after="120" w:afterLines="50" w:line="360" w:lineRule="exact"/>
        <w:ind w:firstLine="480"/>
        <w:rPr>
          <w:rFonts w:hint="eastAsia" w:ascii="仿宋" w:hAnsi="仿宋" w:eastAsia="仿宋" w:cs="仿宋"/>
          <w:lang w:val="en-US" w:eastAsia="zh-CN"/>
        </w:rPr>
      </w:pPr>
    </w:p>
    <w:p>
      <w:pPr>
        <w:pStyle w:val="61"/>
        <w:snapToGrid w:val="0"/>
        <w:spacing w:after="120" w:afterLines="50" w:line="360" w:lineRule="exact"/>
        <w:ind w:firstLine="480"/>
        <w:rPr>
          <w:rFonts w:hint="eastAsia" w:ascii="仿宋" w:hAnsi="仿宋" w:eastAsia="仿宋" w:cs="仿宋"/>
          <w:lang w:val="en-US" w:eastAsia="zh-CN"/>
        </w:rPr>
      </w:pPr>
    </w:p>
    <w:p>
      <w:pPr>
        <w:pStyle w:val="61"/>
        <w:snapToGrid w:val="0"/>
        <w:spacing w:after="120" w:afterLines="50" w:line="360" w:lineRule="exact"/>
        <w:ind w:firstLine="480"/>
        <w:rPr>
          <w:rFonts w:hint="eastAsia" w:ascii="仿宋" w:hAnsi="仿宋" w:eastAsia="仿宋" w:cs="仿宋"/>
          <w:b/>
          <w:bCs/>
          <w:lang w:val="en-US" w:eastAsia="zh-CN"/>
        </w:rPr>
      </w:pPr>
      <w:r>
        <w:rPr>
          <w:rFonts w:hint="eastAsia" w:ascii="仿宋" w:hAnsi="仿宋" w:eastAsia="仿宋" w:cs="仿宋"/>
          <w:b/>
          <w:bCs/>
          <w:lang w:val="en-US" w:eastAsia="zh-CN"/>
        </w:rPr>
        <w:t>1.2标段2：成都处龙泉片区车辆定点维修</w:t>
      </w:r>
    </w:p>
    <w:tbl>
      <w:tblPr>
        <w:tblStyle w:val="20"/>
        <w:tblpPr w:leftFromText="180" w:rightFromText="180" w:vertAnchor="text" w:horzAnchor="page" w:tblpXSpec="center" w:tblpY="473"/>
        <w:tblOverlap w:val="never"/>
        <w:tblW w:w="81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1"/>
        <w:gridCol w:w="870"/>
        <w:gridCol w:w="1829"/>
        <w:gridCol w:w="1290"/>
        <w:gridCol w:w="915"/>
        <w:gridCol w:w="1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751"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设备名称</w:t>
            </w:r>
          </w:p>
        </w:tc>
        <w:tc>
          <w:tcPr>
            <w:tcW w:w="870"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品牌</w:t>
            </w:r>
          </w:p>
        </w:tc>
        <w:tc>
          <w:tcPr>
            <w:tcW w:w="1829"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型号</w:t>
            </w:r>
          </w:p>
        </w:tc>
        <w:tc>
          <w:tcPr>
            <w:tcW w:w="2205" w:type="dxa"/>
            <w:gridSpan w:val="2"/>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业主估算价（元）</w:t>
            </w:r>
          </w:p>
        </w:tc>
        <w:tc>
          <w:tcPr>
            <w:tcW w:w="1450"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51"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sz w:val="24"/>
                <w:szCs w:val="24"/>
              </w:rPr>
            </w:pPr>
          </w:p>
        </w:tc>
        <w:tc>
          <w:tcPr>
            <w:tcW w:w="870"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sz w:val="24"/>
                <w:szCs w:val="24"/>
              </w:rPr>
            </w:pPr>
          </w:p>
        </w:tc>
        <w:tc>
          <w:tcPr>
            <w:tcW w:w="1829"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sz w:val="24"/>
                <w:szCs w:val="24"/>
              </w:rPr>
            </w:pPr>
          </w:p>
        </w:tc>
        <w:tc>
          <w:tcPr>
            <w:tcW w:w="1290"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常规保养</w:t>
            </w:r>
          </w:p>
        </w:tc>
        <w:tc>
          <w:tcPr>
            <w:tcW w:w="915"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二级保养</w:t>
            </w:r>
          </w:p>
        </w:tc>
        <w:tc>
          <w:tcPr>
            <w:tcW w:w="1450"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大型普通客车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柯斯达</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SCT6703TRB53L</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710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1100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川A3936Q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大型普通客车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柯斯达</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SCT6703TRB53L</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710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1100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川A3923Q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大型普通客车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柯斯达</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SCT6703TRB53L</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710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1100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川A5203Q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中型普通客车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金杯</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SY6548MS3BH</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610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川A5881Q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中型普通客车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金杯阁瑞斯</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SY6521G2S3BG</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680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1080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川A5373Q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轻型普通货车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尼桑牌</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ZN1033U2G4</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380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710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川A3630T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轻型普通货车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江西五十铃牌</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JXW1030AS</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480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890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川A1G82X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轻型普通货车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尼桑牌</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ZN6494H2G4</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380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710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川A3081U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轻型普通货车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尼桑牌</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ZN1032U2G3</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380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710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川A9860T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重型专项作业车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中联</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ZLJ5320JQ225V</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780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1320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川A5956Q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重型专项作业车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粤海</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YH5500TQZ15D2</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800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1320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川A0573Q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重型专项作业车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粤海</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YH5258TQZ19T</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780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1320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川A6026Q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中型专业作业车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粤海</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YH5100TQZ02P</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910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川A5161Q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轻型普通货车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江西五十铃牌</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JXW1031BSB0</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480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900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川A4F6L3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中型专业作业车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粤海</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YH5100TQZ25P</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910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川ABB302</w:t>
            </w:r>
          </w:p>
        </w:tc>
      </w:tr>
    </w:tbl>
    <w:p>
      <w:pPr>
        <w:pStyle w:val="61"/>
        <w:snapToGrid w:val="0"/>
        <w:spacing w:after="120" w:afterLines="50" w:line="360" w:lineRule="exact"/>
        <w:ind w:firstLine="480"/>
        <w:rPr>
          <w:rFonts w:hint="eastAsia" w:ascii="仿宋" w:hAnsi="仿宋" w:eastAsia="仿宋" w:cs="仿宋"/>
          <w:lang w:val="en-US" w:eastAsia="zh-CN"/>
        </w:rPr>
      </w:pPr>
    </w:p>
    <w:p>
      <w:pPr>
        <w:pStyle w:val="61"/>
        <w:snapToGrid w:val="0"/>
        <w:spacing w:after="120" w:afterLines="50" w:line="360" w:lineRule="exact"/>
        <w:ind w:firstLine="480"/>
        <w:rPr>
          <w:rFonts w:hint="default" w:ascii="仿宋" w:hAnsi="仿宋" w:eastAsia="仿宋" w:cs="仿宋"/>
          <w:lang w:val="en-US" w:eastAsia="zh-CN"/>
        </w:rPr>
      </w:pPr>
      <w:r>
        <w:rPr>
          <w:rFonts w:hint="eastAsia" w:ascii="仿宋" w:hAnsi="仿宋" w:eastAsia="仿宋" w:cs="仿宋"/>
          <w:b/>
          <w:bCs/>
          <w:lang w:val="en-US" w:eastAsia="zh-CN"/>
        </w:rPr>
        <w:t>1.3标段3：成都处简阳片区车辆定点维修</w:t>
      </w:r>
    </w:p>
    <w:tbl>
      <w:tblPr>
        <w:tblStyle w:val="20"/>
        <w:tblpPr w:leftFromText="180" w:rightFromText="180" w:vertAnchor="text" w:horzAnchor="page" w:tblpXSpec="center" w:tblpY="473"/>
        <w:tblOverlap w:val="never"/>
        <w:tblW w:w="81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1"/>
        <w:gridCol w:w="870"/>
        <w:gridCol w:w="1829"/>
        <w:gridCol w:w="1290"/>
        <w:gridCol w:w="915"/>
        <w:gridCol w:w="1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jc w:val="center"/>
        </w:trPr>
        <w:tc>
          <w:tcPr>
            <w:tcW w:w="1751"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设备名称</w:t>
            </w:r>
          </w:p>
        </w:tc>
        <w:tc>
          <w:tcPr>
            <w:tcW w:w="870"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品牌</w:t>
            </w:r>
          </w:p>
        </w:tc>
        <w:tc>
          <w:tcPr>
            <w:tcW w:w="1829"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型号</w:t>
            </w:r>
          </w:p>
        </w:tc>
        <w:tc>
          <w:tcPr>
            <w:tcW w:w="2205" w:type="dxa"/>
            <w:gridSpan w:val="2"/>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业主估算价（元）</w:t>
            </w:r>
          </w:p>
        </w:tc>
        <w:tc>
          <w:tcPr>
            <w:tcW w:w="1450"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51"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sz w:val="24"/>
                <w:szCs w:val="24"/>
              </w:rPr>
            </w:pPr>
          </w:p>
        </w:tc>
        <w:tc>
          <w:tcPr>
            <w:tcW w:w="870"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sz w:val="24"/>
                <w:szCs w:val="24"/>
              </w:rPr>
            </w:pPr>
          </w:p>
        </w:tc>
        <w:tc>
          <w:tcPr>
            <w:tcW w:w="1829"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sz w:val="24"/>
                <w:szCs w:val="24"/>
              </w:rPr>
            </w:pPr>
          </w:p>
        </w:tc>
        <w:tc>
          <w:tcPr>
            <w:tcW w:w="1290"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常规保养</w:t>
            </w:r>
          </w:p>
        </w:tc>
        <w:tc>
          <w:tcPr>
            <w:tcW w:w="915"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二级保养</w:t>
            </w:r>
          </w:p>
        </w:tc>
        <w:tc>
          <w:tcPr>
            <w:tcW w:w="1450"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轻型普通货车</w:t>
            </w:r>
          </w:p>
        </w:tc>
        <w:tc>
          <w:tcPr>
            <w:tcW w:w="870"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尼桑</w:t>
            </w:r>
          </w:p>
        </w:tc>
        <w:tc>
          <w:tcPr>
            <w:tcW w:w="1829"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ZN1033U2G4</w:t>
            </w:r>
          </w:p>
        </w:tc>
        <w:tc>
          <w:tcPr>
            <w:tcW w:w="1290"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520</w:t>
            </w:r>
          </w:p>
        </w:tc>
        <w:tc>
          <w:tcPr>
            <w:tcW w:w="915"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1320</w:t>
            </w:r>
          </w:p>
        </w:tc>
        <w:tc>
          <w:tcPr>
            <w:tcW w:w="1450" w:type="dxa"/>
            <w:tcBorders>
              <w:tl2br w:val="nil"/>
              <w:tr2bl w:val="nil"/>
            </w:tcBorders>
            <w:noWrap w:val="0"/>
            <w:tcMar>
              <w:top w:w="10" w:type="dxa"/>
              <w:left w:w="10" w:type="dxa"/>
              <w:right w:w="10" w:type="dxa"/>
            </w:tcMar>
            <w:vAlign w:val="center"/>
          </w:tcPr>
          <w:p>
            <w:pPr>
              <w:spacing w:line="240" w:lineRule="atLeas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川A3605T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both"/>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重型专项作业车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粤海</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YH5441IQZ155DZ</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2400</w:t>
            </w:r>
            <w:bookmarkStart w:id="80" w:name="_GoBack"/>
            <w:bookmarkEnd w:id="80"/>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川ABL569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中型专业作业车</w:t>
            </w:r>
          </w:p>
        </w:tc>
        <w:tc>
          <w:tcPr>
            <w:tcW w:w="870" w:type="dxa"/>
            <w:tcBorders>
              <w:tl2br w:val="nil"/>
              <w:tr2bl w:val="nil"/>
            </w:tcBorders>
            <w:noWrap w:val="0"/>
            <w:tcMar>
              <w:top w:w="10" w:type="dxa"/>
              <w:left w:w="10" w:type="dxa"/>
              <w:right w:w="10" w:type="dxa"/>
            </w:tcMar>
            <w:vAlign w:val="center"/>
          </w:tcPr>
          <w:p>
            <w:pPr>
              <w:widowControl/>
              <w:jc w:val="both"/>
              <w:textAlignment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 xml:space="preserve"> 粤海</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YH5100TQZ02P</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1210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2210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川A5203Q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柯斯达客车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柯斯达</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SCT6702TRB53L</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1210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1810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川A1276Q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轻型普通货车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五十铃</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JXW1031BSBO</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650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1310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川A54Q2M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轻型普通货车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五十铃</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JXW1030AS</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650</w:t>
            </w:r>
          </w:p>
        </w:tc>
        <w:tc>
          <w:tcPr>
            <w:tcW w:w="91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1310</w:t>
            </w:r>
          </w:p>
        </w:tc>
        <w:tc>
          <w:tcPr>
            <w:tcW w:w="1450"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川A7M25D</w:t>
            </w:r>
          </w:p>
        </w:tc>
      </w:tr>
    </w:tbl>
    <w:p>
      <w:pPr>
        <w:pStyle w:val="61"/>
        <w:snapToGrid w:val="0"/>
        <w:spacing w:after="120" w:afterLines="50" w:line="360" w:lineRule="exact"/>
        <w:rPr>
          <w:rFonts w:hint="eastAsia" w:ascii="仿宋" w:hAnsi="仿宋" w:eastAsia="仿宋" w:cs="仿宋"/>
        </w:rPr>
      </w:pP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2、服务范围：</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1）车辆维修：整车日常维修（包含但不限于总成维修、各项小修含轮胎、电瓶、车身、车辆内饰、车辆牌照拆装及出厂时原车原配信息设备等维修更换）、车辆救急、专项维修（空调换季维修、独立暖风系统换季维修等）、临时性维修。</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（2）车辆维护：整车常规保养、各级维护，含润滑油、润滑脂、滤芯等维保耗材。</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（3）车辆维护项目及维护周期：参照国家标准及该车型的服务手册、使用说明书制定。</w:t>
      </w:r>
    </w:p>
    <w:p>
      <w:pPr>
        <w:pStyle w:val="61"/>
        <w:snapToGrid w:val="0"/>
        <w:spacing w:before="240" w:beforeLines="100" w:after="120" w:afterLines="50" w:line="360" w:lineRule="exact"/>
        <w:ind w:firstLine="482"/>
        <w:rPr>
          <w:rFonts w:hint="eastAsia" w:ascii="仿宋" w:hAnsi="仿宋" w:eastAsia="仿宋" w:cs="仿宋"/>
          <w:b/>
        </w:rPr>
      </w:pPr>
      <w:r>
        <w:rPr>
          <w:rFonts w:hint="eastAsia" w:ascii="仿宋" w:hAnsi="仿宋" w:eastAsia="仿宋" w:cs="仿宋"/>
          <w:b/>
        </w:rPr>
        <w:t>二、服务要求</w:t>
      </w:r>
      <w:bookmarkEnd w:id="21"/>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1、应保证采购人要求优先，及时，保质，保量提供维修服务，保证原厂配件和维修质量，严格按照《汽车维修收费标准》执行，并在约定的期限内向采购人交付修竣车辆。</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2、维修产品要求：一律使用正规厂家提供的零配件，投标人应当记录配件采购、使用信息，查验产品合格证等相关证明，并按规定留存配件来源凭证。</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3、供应商根据送修方出具的“公务用车送修单”（特殊情况可修后补办）上注明的问题，依据相关标准和维修手册对车辆进行检测，检测完毕后确定切合实际的维修方案，在征得送修方同意后按维修方案实施维修（维修方案因实际情况改变须征得送修方同意），维修竣工后在打印的维修清单上注明详细维修清单明细、维修工时费、材料费、完成维修的时间、维修总金额等内容，材料管理费必须在维修清单中明确单独列出，并通知送修方前来办理车辆交接手续，供应商出具维修出厂合格证和维修清单，送修方仔细检查竣工车辆，若无异议在维修清单上签字确认。</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4、供应商负责维修期间的车辆安全和维修质量。在车辆维修期间发生失火、被盗及其它损失，由维修企业承担一切后果。已经维修合格出厂的车辆按《机动车维修管理规定》执行。若送修方对车辆维修质量有异议，可以以书面形式向供应商提出，若供应商不能给予令人信服的答复，送修方可报请法定检验机构进行鉴定。维修质量符合标准的，鉴定费由送修方承担；维修质量不符合质量标准的，鉴定费由供应商承担。</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5、供应商须严格执行中标收费价格，对超出送修范围的项目和超出成交价格的收费，送修单位有权拒绝结算。</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6、供应商位为送修方定点维修的车辆定期免费检测调整制动、灯光、空调等系统设施。</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7、由于技术及其它原因，供应商不能维修的车辆，供应商应向车辆管理单位来函说明原因，并由供应商联系具有资质的定点维修外的企业维修。</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8、供应商依据《机动车维修管理规定》对送修车辆建立用户档案和台帐记录，并按季向车辆送修单位报送车辆维修情况统计总表及每辆车的季度定点维修执行情况表。</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9、供应商应严格遵守《中华人民共和国交通运输行业标准机动车维修服务规范》JT/T816-2011、《交通运输部关于修改&lt;机动车维修管理规定&gt;的决定（交通运输部令2019年第20号）》等相关规定。</w:t>
      </w:r>
    </w:p>
    <w:p>
      <w:pPr>
        <w:pStyle w:val="61"/>
        <w:snapToGrid w:val="0"/>
        <w:spacing w:before="240" w:beforeLines="100" w:after="120" w:afterLines="50" w:line="360" w:lineRule="exact"/>
        <w:ind w:firstLine="482"/>
        <w:rPr>
          <w:rFonts w:hint="eastAsia" w:ascii="仿宋" w:hAnsi="仿宋" w:eastAsia="仿宋" w:cs="仿宋"/>
          <w:b/>
        </w:rPr>
      </w:pPr>
      <w:r>
        <w:rPr>
          <w:rFonts w:hint="eastAsia" w:ascii="仿宋" w:hAnsi="仿宋" w:eastAsia="仿宋" w:cs="仿宋"/>
          <w:b/>
        </w:rPr>
        <w:t>三、商务要求</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1、服务时间：</w:t>
      </w:r>
      <w:r>
        <w:rPr>
          <w:rFonts w:hint="eastAsia" w:ascii="仿宋" w:hAnsi="仿宋" w:eastAsia="仿宋" w:cs="仿宋"/>
          <w:lang w:val="en-US" w:eastAsia="zh-CN"/>
        </w:rPr>
        <w:t>2021年3 月1日</w:t>
      </w:r>
      <w:r>
        <w:rPr>
          <w:rFonts w:hint="eastAsia" w:ascii="仿宋" w:hAnsi="仿宋" w:eastAsia="仿宋" w:cs="仿宋"/>
        </w:rPr>
        <w:t>～</w:t>
      </w:r>
      <w:r>
        <w:rPr>
          <w:rFonts w:hint="eastAsia" w:ascii="仿宋" w:hAnsi="仿宋" w:eastAsia="仿宋" w:cs="仿宋"/>
          <w:lang w:val="en-US" w:eastAsia="zh-CN"/>
        </w:rPr>
        <w:t>2023年2月28日，合同一年一签</w:t>
      </w:r>
      <w:r>
        <w:rPr>
          <w:rFonts w:hint="eastAsia" w:ascii="仿宋" w:hAnsi="仿宋" w:eastAsia="仿宋" w:cs="仿宋"/>
        </w:rPr>
        <w:t>。</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2、履约地点：采购人指定地点。</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3、付款方式：按季度据实结算支付。采购人每季度就供应商接车人员及相关负责人签字确认的结算维修清单进行审签，双方根据本合同约定核算上月的维修保养费用，经供应商书面申请，由采购人及时支付给供应商。实行转账支付，每季度最后一个月25日前支付上月全额货款，采购人转至供应商银行基本账户。</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4、供应商须向采购人出具合法有效完整的完税发票及凭证资料进行结算。</w:t>
      </w:r>
    </w:p>
    <w:p>
      <w:pPr>
        <w:pStyle w:val="61"/>
        <w:snapToGrid w:val="0"/>
        <w:spacing w:after="120" w:afterLines="50" w:line="360" w:lineRule="exact"/>
        <w:ind w:firstLine="480"/>
        <w:rPr>
          <w:rFonts w:ascii="仿宋" w:hAnsi="仿宋" w:eastAsia="仿宋" w:cs="仿宋"/>
        </w:rPr>
      </w:pPr>
      <w:r>
        <w:rPr>
          <w:rFonts w:hint="eastAsia" w:ascii="仿宋" w:hAnsi="仿宋" w:eastAsia="仿宋" w:cs="仿宋"/>
        </w:rPr>
        <w:t>5、售后服务：</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（1）供应商应有完善的技术支持与服务体系，专人负责与采购人联系售后服务事宜，必要的售后机具配置、具有专门的服务电话。</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（2）提供7×24小时的技术支持服务，配置专门固定的售后服务电话。接到采购人系统故障报修应2小时内响应。</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（3）故障问题解决后24小时内，向采购人提交问题处理报告，说明问题种类、问题原因、问题解决中使用的方法及造成的损失等情况。</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（4）供应商针对本项目提供的其他有利于项目售后保障措施。</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6、保修期：</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1）保修期内，因维修质量造成的一切损失与责任由供应商承担（如：异响，漏风，漏电，漏油，钣金间隙不对，油漆起皮麻点多橘皮重等）在保修期内，车辆因同一故障或者维修项目经两次修理仍不能正常使用的，双方应协商确定其他机动车维修经营者进行修理，相应修理费用由供应商承担。</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（2）</w:t>
      </w:r>
      <w:r>
        <w:rPr>
          <w:rFonts w:ascii="仿宋" w:hAnsi="仿宋" w:eastAsia="仿宋" w:cs="仿宋"/>
        </w:rPr>
        <w:t>发现替换件以次充好，弄虚作假的，每次考核当月维修费用总金额10%，依次增加。未经</w:t>
      </w:r>
      <w:r>
        <w:rPr>
          <w:rFonts w:hint="eastAsia" w:ascii="仿宋" w:hAnsi="仿宋" w:eastAsia="仿宋" w:cs="仿宋"/>
        </w:rPr>
        <w:t>采购人</w:t>
      </w:r>
      <w:r>
        <w:rPr>
          <w:rFonts w:ascii="仿宋" w:hAnsi="仿宋" w:eastAsia="仿宋" w:cs="仿宋"/>
        </w:rPr>
        <w:t xml:space="preserve">指定人员确认签字的，私自拆装、维修的，不予结算，且因此造成的损失由承修方全部承担。维修手续清单等相关材料缺失的，不予结算，且因此造成的损失由承修方全部承担。 </w:t>
      </w:r>
    </w:p>
    <w:p>
      <w:pPr>
        <w:pStyle w:val="61"/>
        <w:snapToGrid w:val="0"/>
        <w:spacing w:after="120" w:afterLines="50" w:line="360" w:lineRule="exact"/>
        <w:ind w:firstLine="480"/>
        <w:rPr>
          <w:rFonts w:ascii="仿宋" w:hAnsi="仿宋" w:eastAsia="仿宋" w:cs="仿宋"/>
        </w:rPr>
      </w:pPr>
      <w:r>
        <w:rPr>
          <w:rFonts w:hint="eastAsia" w:ascii="仿宋" w:hAnsi="仿宋" w:eastAsia="仿宋" w:cs="仿宋"/>
        </w:rPr>
        <w:t>（3）供应商必须保证车辆维修质量。维修车辆出厂前，供应商必须进行质量检定。在保修期内，因维修质量造成相应配件费用及工时费用，由供应商负责。维修出厂车辆质量保证里程为：1）整车修理或者总成修理质量保证期为车辆行驶两公里或者一百日。2）二级维护质量保证期为车辆行驶五千公里或者三十日。3）一级维护、小修及专项修理质量保障期为车辆行驶两二千公里或者十日。</w:t>
      </w:r>
    </w:p>
    <w:p>
      <w:pPr>
        <w:pStyle w:val="61"/>
        <w:snapToGrid w:val="0"/>
        <w:spacing w:after="120" w:afterLines="50" w:line="360" w:lineRule="exact"/>
        <w:ind w:firstLine="480"/>
        <w:rPr>
          <w:rFonts w:ascii="仿宋" w:hAnsi="仿宋" w:eastAsia="仿宋" w:cs="仿宋"/>
        </w:rPr>
      </w:pPr>
      <w:r>
        <w:rPr>
          <w:rFonts w:hint="eastAsia" w:ascii="仿宋" w:hAnsi="仿宋" w:eastAsia="仿宋" w:cs="仿宋"/>
        </w:rPr>
        <w:t>6、验收标准：</w:t>
      </w:r>
      <w:r>
        <w:rPr>
          <w:rFonts w:ascii="仿宋" w:hAnsi="仿宋" w:eastAsia="仿宋" w:cs="仿宋"/>
        </w:rPr>
        <w:t>国家有关规定以及采购文件的质量要求和技术指标、</w:t>
      </w:r>
      <w:r>
        <w:rPr>
          <w:rFonts w:hint="eastAsia" w:ascii="仿宋" w:hAnsi="仿宋" w:eastAsia="仿宋" w:cs="仿宋"/>
        </w:rPr>
        <w:t>供应商</w:t>
      </w:r>
      <w:r>
        <w:rPr>
          <w:rFonts w:ascii="仿宋" w:hAnsi="仿宋" w:eastAsia="仿宋" w:cs="仿宋"/>
        </w:rPr>
        <w:t>的响应文件及承诺与本合同约定标准进行验收；采购人与</w:t>
      </w:r>
      <w:r>
        <w:rPr>
          <w:rFonts w:hint="eastAsia" w:ascii="仿宋" w:hAnsi="仿宋" w:eastAsia="仿宋" w:cs="仿宋"/>
        </w:rPr>
        <w:t>供应商</w:t>
      </w:r>
      <w:r>
        <w:rPr>
          <w:rFonts w:ascii="仿宋" w:hAnsi="仿宋" w:eastAsia="仿宋" w:cs="仿宋"/>
        </w:rPr>
        <w:t>双方如对质量要求和技术指标的约定标准有相互抵触或异议的事项，由采购人在采购文件及响应文件中按质量要求和技术指标比较优胜的原则确定该项的约定标准进行验收。</w:t>
      </w:r>
    </w:p>
    <w:p>
      <w:pPr>
        <w:pStyle w:val="61"/>
        <w:snapToGrid w:val="0"/>
        <w:spacing w:after="120" w:afterLines="50" w:line="360" w:lineRule="exact"/>
        <w:ind w:firstLine="480"/>
        <w:rPr>
          <w:rFonts w:hint="eastAsia" w:ascii="仿宋" w:hAnsi="仿宋" w:eastAsia="仿宋" w:cs="仿宋"/>
        </w:rPr>
      </w:pPr>
      <w:r>
        <w:rPr>
          <w:rFonts w:hint="eastAsia" w:ascii="仿宋" w:hAnsi="仿宋" w:eastAsia="仿宋" w:cs="仿宋"/>
        </w:rPr>
        <w:t>7、其余未尽事宜按双方签订的合同为准。</w:t>
      </w:r>
    </w:p>
    <w:p>
      <w:pPr>
        <w:pStyle w:val="61"/>
        <w:ind w:firstLine="480"/>
        <w:rPr>
          <w:rFonts w:hint="eastAsia" w:ascii="仿宋" w:hAnsi="仿宋" w:eastAsia="仿宋" w:cs="仿宋"/>
          <w:color w:val="000000"/>
        </w:rPr>
      </w:pPr>
      <w:r>
        <w:rPr>
          <w:rFonts w:hint="eastAsia" w:ascii="仿宋" w:hAnsi="仿宋" w:eastAsia="仿宋" w:cs="仿宋"/>
          <w:color w:val="000000"/>
        </w:rPr>
        <w:br w:type="page"/>
      </w:r>
    </w:p>
    <w:p>
      <w:pPr>
        <w:pStyle w:val="61"/>
        <w:ind w:firstLine="480"/>
        <w:rPr>
          <w:rFonts w:hint="eastAsia" w:ascii="仿宋" w:hAnsi="仿宋" w:eastAsia="仿宋" w:cs="仿宋"/>
          <w:color w:val="000000"/>
        </w:rPr>
      </w:pPr>
    </w:p>
    <w:p>
      <w:pPr>
        <w:spacing w:line="460" w:lineRule="exact"/>
        <w:jc w:val="center"/>
        <w:rPr>
          <w:rFonts w:hint="eastAsia" w:ascii="仿宋" w:hAnsi="仿宋" w:eastAsia="仿宋" w:cs="仿宋"/>
          <w:b/>
          <w:sz w:val="32"/>
          <w:szCs w:val="32"/>
        </w:rPr>
      </w:pPr>
      <w:r>
        <w:rPr>
          <w:rFonts w:hint="eastAsia" w:ascii="仿宋" w:hAnsi="仿宋" w:eastAsia="仿宋" w:cs="仿宋"/>
          <w:b/>
          <w:sz w:val="32"/>
          <w:szCs w:val="32"/>
        </w:rPr>
        <w:t>第六章  响应文件格式</w:t>
      </w:r>
      <w:bookmarkEnd w:id="20"/>
    </w:p>
    <w:p>
      <w:pPr>
        <w:spacing w:line="360" w:lineRule="auto"/>
        <w:jc w:val="center"/>
        <w:rPr>
          <w:rFonts w:hint="eastAsia" w:ascii="仿宋" w:hAnsi="仿宋" w:eastAsia="仿宋" w:cs="仿宋"/>
          <w:b/>
          <w:sz w:val="28"/>
          <w:szCs w:val="28"/>
        </w:rPr>
      </w:pPr>
    </w:p>
    <w:p>
      <w:pPr>
        <w:spacing w:line="360" w:lineRule="auto"/>
        <w:jc w:val="center"/>
        <w:rPr>
          <w:rFonts w:hint="eastAsia" w:ascii="仿宋" w:hAnsi="仿宋" w:eastAsia="仿宋" w:cs="仿宋"/>
          <w:b/>
          <w:sz w:val="28"/>
          <w:szCs w:val="28"/>
        </w:rPr>
      </w:pPr>
    </w:p>
    <w:p>
      <w:pPr>
        <w:spacing w:line="360" w:lineRule="auto"/>
        <w:jc w:val="center"/>
        <w:rPr>
          <w:rFonts w:hint="eastAsia" w:ascii="仿宋" w:hAnsi="仿宋" w:eastAsia="仿宋" w:cs="仿宋"/>
        </w:rPr>
      </w:pPr>
    </w:p>
    <w:p>
      <w:pPr>
        <w:spacing w:line="360" w:lineRule="auto"/>
        <w:jc w:val="center"/>
        <w:rPr>
          <w:rFonts w:hint="eastAsia" w:ascii="仿宋" w:hAnsi="仿宋" w:eastAsia="仿宋" w:cs="仿宋"/>
          <w:b/>
          <w:sz w:val="72"/>
        </w:rPr>
      </w:pPr>
      <w:r>
        <w:rPr>
          <w:rFonts w:hint="eastAsia" w:ascii="仿宋" w:hAnsi="仿宋" w:eastAsia="仿宋" w:cs="仿宋"/>
          <w:b/>
          <w:sz w:val="72"/>
        </w:rPr>
        <w:t>响应文件</w:t>
      </w:r>
    </w:p>
    <w:p>
      <w:pPr>
        <w:spacing w:line="360" w:lineRule="auto"/>
        <w:jc w:val="center"/>
        <w:rPr>
          <w:rFonts w:hint="eastAsia" w:ascii="仿宋" w:hAnsi="仿宋" w:eastAsia="仿宋" w:cs="仿宋"/>
          <w:b/>
          <w:sz w:val="44"/>
        </w:rPr>
      </w:pPr>
      <w:r>
        <w:rPr>
          <w:rFonts w:hint="eastAsia" w:ascii="仿宋" w:hAnsi="仿宋" w:eastAsia="仿宋" w:cs="仿宋"/>
          <w:b/>
          <w:sz w:val="44"/>
        </w:rPr>
        <w:t>（封面）</w:t>
      </w:r>
    </w:p>
    <w:p>
      <w:pPr>
        <w:spacing w:line="360" w:lineRule="auto"/>
        <w:jc w:val="center"/>
        <w:rPr>
          <w:rFonts w:hint="eastAsia" w:ascii="仿宋" w:hAnsi="仿宋" w:eastAsia="仿宋" w:cs="仿宋"/>
          <w:b/>
          <w:sz w:val="44"/>
        </w:rPr>
      </w:pPr>
    </w:p>
    <w:p>
      <w:pPr>
        <w:spacing w:line="360" w:lineRule="auto"/>
        <w:jc w:val="center"/>
        <w:rPr>
          <w:rFonts w:hint="eastAsia" w:ascii="仿宋" w:hAnsi="仿宋" w:eastAsia="仿宋" w:cs="仿宋"/>
          <w:b/>
          <w:sz w:val="44"/>
        </w:rPr>
      </w:pPr>
    </w:p>
    <w:p>
      <w:pPr>
        <w:spacing w:line="360" w:lineRule="auto"/>
        <w:jc w:val="center"/>
        <w:rPr>
          <w:rFonts w:hint="eastAsia" w:ascii="仿宋" w:hAnsi="仿宋" w:eastAsia="仿宋" w:cs="仿宋"/>
          <w:b/>
          <w:sz w:val="36"/>
        </w:rPr>
      </w:pPr>
    </w:p>
    <w:p>
      <w:pPr>
        <w:spacing w:line="360" w:lineRule="auto"/>
        <w:ind w:firstLine="1970" w:firstLineChars="545"/>
        <w:rPr>
          <w:rFonts w:hint="eastAsia" w:ascii="仿宋" w:hAnsi="仿宋" w:eastAsia="仿宋" w:cs="仿宋"/>
          <w:b/>
          <w:sz w:val="36"/>
          <w:u w:val="single"/>
        </w:rPr>
      </w:pPr>
      <w:r>
        <w:rPr>
          <w:rFonts w:hint="eastAsia" w:ascii="仿宋" w:hAnsi="仿宋" w:eastAsia="仿宋" w:cs="仿宋"/>
          <w:b/>
          <w:sz w:val="36"/>
        </w:rPr>
        <w:t>项目名称：</w:t>
      </w:r>
    </w:p>
    <w:p>
      <w:pPr>
        <w:spacing w:line="360" w:lineRule="auto"/>
        <w:ind w:firstLine="1970" w:firstLineChars="545"/>
        <w:rPr>
          <w:rFonts w:hint="eastAsia" w:ascii="仿宋" w:hAnsi="仿宋" w:eastAsia="仿宋" w:cs="仿宋"/>
          <w:b/>
          <w:sz w:val="36"/>
          <w:u w:val="single"/>
        </w:rPr>
      </w:pPr>
      <w:r>
        <w:rPr>
          <w:rFonts w:hint="eastAsia" w:ascii="仿宋" w:hAnsi="仿宋" w:eastAsia="仿宋" w:cs="仿宋"/>
          <w:b/>
          <w:sz w:val="36"/>
        </w:rPr>
        <w:t>采购编号：</w:t>
      </w:r>
    </w:p>
    <w:p>
      <w:pPr>
        <w:spacing w:line="360" w:lineRule="auto"/>
        <w:ind w:firstLine="2168" w:firstLineChars="600"/>
        <w:jc w:val="both"/>
        <w:rPr>
          <w:rFonts w:hint="eastAsia" w:ascii="仿宋" w:hAnsi="仿宋" w:eastAsia="仿宋" w:cs="仿宋"/>
          <w:b/>
          <w:sz w:val="36"/>
          <w:lang w:val="en-US" w:eastAsia="zh-CN"/>
        </w:rPr>
      </w:pPr>
      <w:r>
        <w:rPr>
          <w:rFonts w:hint="eastAsia" w:ascii="仿宋" w:hAnsi="仿宋" w:eastAsia="仿宋" w:cs="仿宋"/>
          <w:b/>
          <w:sz w:val="36"/>
          <w:lang w:val="en-US" w:eastAsia="zh-CN"/>
        </w:rPr>
        <w:t>标段：</w:t>
      </w:r>
    </w:p>
    <w:p>
      <w:pPr>
        <w:spacing w:line="360" w:lineRule="auto"/>
        <w:jc w:val="center"/>
        <w:rPr>
          <w:rFonts w:hint="eastAsia" w:ascii="仿宋" w:hAnsi="仿宋" w:eastAsia="仿宋" w:cs="仿宋"/>
          <w:b/>
          <w:sz w:val="36"/>
        </w:rPr>
      </w:pPr>
    </w:p>
    <w:p>
      <w:pPr>
        <w:spacing w:line="360" w:lineRule="auto"/>
        <w:jc w:val="center"/>
        <w:rPr>
          <w:rFonts w:hint="eastAsia" w:ascii="仿宋" w:hAnsi="仿宋" w:eastAsia="仿宋" w:cs="仿宋"/>
          <w:b/>
          <w:sz w:val="36"/>
        </w:rPr>
      </w:pPr>
      <w:r>
        <w:rPr>
          <w:rFonts w:hint="eastAsia" w:ascii="仿宋" w:hAnsi="仿宋" w:eastAsia="仿宋" w:cs="仿宋"/>
          <w:b/>
          <w:sz w:val="36"/>
        </w:rPr>
        <w:t>（正本/副本）</w:t>
      </w:r>
    </w:p>
    <w:p>
      <w:pPr>
        <w:spacing w:line="360" w:lineRule="auto"/>
        <w:jc w:val="center"/>
        <w:rPr>
          <w:rFonts w:hint="eastAsia" w:ascii="仿宋" w:hAnsi="仿宋" w:eastAsia="仿宋" w:cs="仿宋"/>
          <w:b/>
          <w:sz w:val="36"/>
        </w:rPr>
      </w:pPr>
    </w:p>
    <w:p>
      <w:pPr>
        <w:spacing w:line="360" w:lineRule="auto"/>
        <w:jc w:val="center"/>
        <w:rPr>
          <w:rFonts w:hint="eastAsia" w:ascii="仿宋" w:hAnsi="仿宋" w:eastAsia="仿宋" w:cs="仿宋"/>
          <w:b/>
          <w:sz w:val="36"/>
        </w:rPr>
      </w:pPr>
    </w:p>
    <w:p>
      <w:pPr>
        <w:spacing w:line="360" w:lineRule="auto"/>
        <w:jc w:val="center"/>
        <w:rPr>
          <w:rFonts w:hint="eastAsia" w:ascii="仿宋" w:hAnsi="仿宋" w:eastAsia="仿宋" w:cs="仿宋"/>
          <w:b/>
          <w:sz w:val="36"/>
        </w:rPr>
      </w:pPr>
    </w:p>
    <w:p>
      <w:pPr>
        <w:spacing w:line="360" w:lineRule="auto"/>
        <w:rPr>
          <w:rFonts w:hint="eastAsia" w:ascii="仿宋" w:hAnsi="仿宋" w:eastAsia="仿宋" w:cs="仿宋"/>
          <w:b/>
          <w:sz w:val="36"/>
        </w:rPr>
      </w:pPr>
    </w:p>
    <w:p>
      <w:pPr>
        <w:spacing w:line="360" w:lineRule="auto"/>
        <w:ind w:firstLine="2718" w:firstLineChars="846"/>
        <w:rPr>
          <w:rFonts w:hint="eastAsia" w:ascii="仿宋" w:hAnsi="仿宋" w:eastAsia="仿宋" w:cs="仿宋"/>
          <w:b/>
          <w:sz w:val="32"/>
          <w:u w:val="single"/>
        </w:rPr>
      </w:pPr>
      <w:r>
        <w:rPr>
          <w:rFonts w:hint="eastAsia" w:ascii="仿宋" w:hAnsi="仿宋" w:eastAsia="仿宋" w:cs="仿宋"/>
          <w:b/>
          <w:sz w:val="32"/>
        </w:rPr>
        <w:t>供应商名称（盖章）：</w:t>
      </w:r>
    </w:p>
    <w:p>
      <w:pPr>
        <w:spacing w:line="360" w:lineRule="auto"/>
        <w:ind w:firstLine="790" w:firstLineChars="246"/>
        <w:jc w:val="center"/>
        <w:rPr>
          <w:rFonts w:hint="eastAsia" w:ascii="仿宋" w:hAnsi="仿宋" w:eastAsia="仿宋" w:cs="仿宋"/>
          <w:b/>
          <w:sz w:val="30"/>
          <w:szCs w:val="30"/>
        </w:rPr>
      </w:pPr>
      <w:r>
        <w:rPr>
          <w:rFonts w:hint="eastAsia" w:ascii="仿宋" w:hAnsi="仿宋" w:eastAsia="仿宋" w:cs="仿宋"/>
          <w:b/>
          <w:sz w:val="32"/>
        </w:rPr>
        <w:t>比选日期 ：年 月 日</w:t>
      </w:r>
      <w:r>
        <w:rPr>
          <w:rFonts w:hint="eastAsia" w:ascii="仿宋" w:hAnsi="仿宋" w:eastAsia="仿宋" w:cs="仿宋"/>
          <w:b/>
          <w:sz w:val="30"/>
          <w:szCs w:val="30"/>
        </w:rPr>
        <w:br w:type="textWrapping"/>
      </w:r>
    </w:p>
    <w:p>
      <w:pPr>
        <w:rPr>
          <w:rFonts w:hint="eastAsia" w:ascii="仿宋" w:hAnsi="仿宋" w:eastAsia="仿宋" w:cs="仿宋"/>
          <w:b/>
          <w:sz w:val="30"/>
          <w:szCs w:val="30"/>
        </w:rPr>
      </w:pPr>
      <w:r>
        <w:rPr>
          <w:rFonts w:hint="eastAsia" w:ascii="仿宋" w:hAnsi="仿宋" w:eastAsia="仿宋" w:cs="仿宋"/>
          <w:b/>
          <w:sz w:val="30"/>
          <w:szCs w:val="30"/>
        </w:rPr>
        <w:br w:type="page"/>
      </w:r>
    </w:p>
    <w:p>
      <w:pPr>
        <w:pStyle w:val="53"/>
        <w:snapToGrid w:val="0"/>
        <w:ind w:firstLine="0" w:firstLineChars="0"/>
        <w:jc w:val="center"/>
        <w:rPr>
          <w:rFonts w:hint="default" w:ascii="仿宋" w:hAnsi="仿宋" w:eastAsia="仿宋" w:cs="仿宋"/>
          <w:b/>
          <w:sz w:val="30"/>
          <w:szCs w:val="30"/>
          <w:lang w:val="en-US" w:eastAsia="zh-CN"/>
        </w:rPr>
      </w:pPr>
      <w:r>
        <w:rPr>
          <w:rFonts w:hint="eastAsia" w:ascii="仿宋" w:hAnsi="仿宋" w:eastAsia="仿宋" w:cs="仿宋"/>
          <w:b/>
          <w:sz w:val="30"/>
          <w:szCs w:val="30"/>
        </w:rPr>
        <w:t>一、法定代表人授权书</w:t>
      </w:r>
      <w:r>
        <w:rPr>
          <w:rFonts w:hint="eastAsia" w:ascii="仿宋" w:hAnsi="仿宋" w:eastAsia="仿宋" w:cs="仿宋"/>
          <w:b/>
          <w:sz w:val="30"/>
          <w:szCs w:val="30"/>
          <w:lang w:eastAsia="zh-CN"/>
        </w:rPr>
        <w:t>（</w:t>
      </w:r>
      <w:r>
        <w:rPr>
          <w:rFonts w:hint="eastAsia" w:ascii="仿宋" w:hAnsi="仿宋" w:eastAsia="仿宋" w:cs="仿宋"/>
          <w:b/>
          <w:sz w:val="30"/>
          <w:szCs w:val="30"/>
          <w:lang w:val="en-US" w:eastAsia="zh-CN"/>
        </w:rPr>
        <w:t>按需）</w:t>
      </w:r>
    </w:p>
    <w:p>
      <w:pPr>
        <w:pStyle w:val="53"/>
        <w:snapToGrid w:val="0"/>
        <w:ind w:firstLine="0" w:firstLineChars="0"/>
        <w:jc w:val="center"/>
        <w:rPr>
          <w:rFonts w:hint="eastAsia" w:ascii="仿宋" w:hAnsi="仿宋" w:eastAsia="仿宋" w:cs="仿宋"/>
          <w:b/>
          <w:sz w:val="30"/>
          <w:szCs w:val="30"/>
        </w:rPr>
      </w:pPr>
    </w:p>
    <w:p>
      <w:pPr>
        <w:widowControl/>
        <w:snapToGrid w:val="0"/>
        <w:spacing w:line="360" w:lineRule="auto"/>
        <w:jc w:val="left"/>
        <w:outlineLvl w:val="1"/>
        <w:rPr>
          <w:rFonts w:hint="eastAsia" w:ascii="仿宋" w:hAnsi="仿宋" w:eastAsia="仿宋" w:cs="仿宋"/>
          <w:sz w:val="24"/>
        </w:rPr>
      </w:pPr>
      <w:bookmarkStart w:id="22" w:name="_Toc477957435"/>
      <w:bookmarkStart w:id="23" w:name="_Toc477957285"/>
      <w:bookmarkStart w:id="24" w:name="_Toc469324517"/>
      <w:r>
        <w:rPr>
          <w:rFonts w:hint="eastAsia" w:ascii="仿宋" w:hAnsi="仿宋" w:eastAsia="仿宋" w:cs="仿宋"/>
          <w:sz w:val="24"/>
          <w:lang w:val="en-US" w:eastAsia="zh-CN"/>
        </w:rPr>
        <w:t>四川成渝高速公路股份有限公司成渝分公司成都管理处</w:t>
      </w:r>
      <w:r>
        <w:rPr>
          <w:rFonts w:hint="eastAsia" w:ascii="仿宋" w:hAnsi="仿宋" w:eastAsia="仿宋" w:cs="仿宋"/>
          <w:sz w:val="24"/>
        </w:rPr>
        <w:t>：</w:t>
      </w:r>
      <w:bookmarkEnd w:id="22"/>
      <w:bookmarkEnd w:id="23"/>
      <w:bookmarkEnd w:id="24"/>
    </w:p>
    <w:p>
      <w:pPr>
        <w:widowControl/>
        <w:snapToGrid w:val="0"/>
        <w:spacing w:line="360" w:lineRule="auto"/>
        <w:ind w:firstLine="470" w:firstLineChars="196"/>
        <w:jc w:val="left"/>
        <w:outlineLvl w:val="1"/>
        <w:rPr>
          <w:rFonts w:hint="eastAsia" w:ascii="仿宋" w:hAnsi="仿宋" w:eastAsia="仿宋" w:cs="仿宋"/>
          <w:sz w:val="24"/>
        </w:rPr>
      </w:pPr>
      <w:bookmarkStart w:id="25" w:name="_Toc477957436"/>
      <w:bookmarkStart w:id="26" w:name="_Toc469324518"/>
      <w:bookmarkStart w:id="27" w:name="_Toc477957286"/>
      <w:r>
        <w:rPr>
          <w:rFonts w:hint="eastAsia" w:ascii="仿宋" w:hAnsi="仿宋" w:eastAsia="仿宋" w:cs="仿宋"/>
          <w:sz w:val="24"/>
        </w:rPr>
        <w:t>本授权声明：×××××（供应商名称）×××××（法定代表人姓名、职务）授权×××××（被授权人姓名、职务）为我方 “×××××” 项目比选活动的合法代表，以我方名义全权处理该项目有关比选、签订合同以及执行合同等一切事宜。</w:t>
      </w:r>
      <w:bookmarkEnd w:id="25"/>
      <w:bookmarkEnd w:id="26"/>
      <w:bookmarkEnd w:id="27"/>
    </w:p>
    <w:p>
      <w:pPr>
        <w:widowControl/>
        <w:snapToGrid w:val="0"/>
        <w:spacing w:line="360" w:lineRule="auto"/>
        <w:ind w:firstLine="470" w:firstLineChars="196"/>
        <w:jc w:val="left"/>
        <w:outlineLvl w:val="1"/>
        <w:rPr>
          <w:rFonts w:hint="eastAsia" w:ascii="仿宋" w:hAnsi="仿宋" w:eastAsia="仿宋" w:cs="仿宋"/>
          <w:sz w:val="24"/>
        </w:rPr>
      </w:pPr>
    </w:p>
    <w:p>
      <w:pPr>
        <w:widowControl/>
        <w:snapToGrid w:val="0"/>
        <w:spacing w:line="360" w:lineRule="auto"/>
        <w:ind w:firstLine="470" w:firstLineChars="196"/>
        <w:jc w:val="left"/>
        <w:outlineLvl w:val="1"/>
        <w:rPr>
          <w:rFonts w:hint="eastAsia" w:ascii="仿宋" w:hAnsi="仿宋" w:eastAsia="仿宋" w:cs="仿宋"/>
          <w:sz w:val="24"/>
        </w:rPr>
      </w:pPr>
      <w:bookmarkStart w:id="28" w:name="_Toc477957287"/>
      <w:bookmarkStart w:id="29" w:name="_Toc477957437"/>
      <w:bookmarkStart w:id="30" w:name="_Toc469324519"/>
      <w:r>
        <w:rPr>
          <w:rFonts w:hint="eastAsia" w:ascii="仿宋" w:hAnsi="仿宋" w:eastAsia="仿宋" w:cs="仿宋"/>
          <w:sz w:val="24"/>
        </w:rPr>
        <w:t>特此声明。</w:t>
      </w:r>
      <w:bookmarkEnd w:id="28"/>
      <w:bookmarkEnd w:id="29"/>
      <w:bookmarkEnd w:id="30"/>
    </w:p>
    <w:p>
      <w:pPr>
        <w:widowControl/>
        <w:snapToGrid w:val="0"/>
        <w:spacing w:line="360" w:lineRule="auto"/>
        <w:ind w:firstLine="470" w:firstLineChars="196"/>
        <w:jc w:val="left"/>
        <w:outlineLvl w:val="1"/>
        <w:rPr>
          <w:rFonts w:hint="eastAsia" w:ascii="仿宋" w:hAnsi="仿宋" w:eastAsia="仿宋" w:cs="仿宋"/>
          <w:sz w:val="24"/>
        </w:rPr>
      </w:pPr>
    </w:p>
    <w:p>
      <w:pPr>
        <w:widowControl/>
        <w:snapToGrid w:val="0"/>
        <w:spacing w:line="360" w:lineRule="auto"/>
        <w:ind w:firstLine="470" w:firstLineChars="196"/>
        <w:jc w:val="left"/>
        <w:outlineLvl w:val="1"/>
        <w:rPr>
          <w:rFonts w:hint="eastAsia" w:ascii="仿宋" w:hAnsi="仿宋" w:eastAsia="仿宋" w:cs="仿宋"/>
          <w:sz w:val="24"/>
        </w:rPr>
      </w:pPr>
    </w:p>
    <w:p>
      <w:pPr>
        <w:widowControl/>
        <w:snapToGrid w:val="0"/>
        <w:spacing w:line="360" w:lineRule="auto"/>
        <w:ind w:firstLine="470" w:firstLineChars="196"/>
        <w:jc w:val="left"/>
        <w:outlineLvl w:val="1"/>
        <w:rPr>
          <w:rFonts w:hint="eastAsia" w:ascii="仿宋" w:hAnsi="仿宋" w:eastAsia="仿宋" w:cs="仿宋"/>
          <w:sz w:val="24"/>
        </w:rPr>
      </w:pPr>
    </w:p>
    <w:p>
      <w:pPr>
        <w:widowControl/>
        <w:snapToGrid w:val="0"/>
        <w:spacing w:line="480" w:lineRule="auto"/>
        <w:ind w:firstLine="470" w:firstLineChars="196"/>
        <w:jc w:val="left"/>
        <w:outlineLvl w:val="1"/>
        <w:rPr>
          <w:rFonts w:hint="eastAsia" w:ascii="仿宋" w:hAnsi="仿宋" w:eastAsia="仿宋" w:cs="仿宋"/>
          <w:sz w:val="24"/>
        </w:rPr>
      </w:pPr>
      <w:bookmarkStart w:id="31" w:name="_Toc477957288"/>
      <w:bookmarkStart w:id="32" w:name="_Toc469324520"/>
      <w:bookmarkStart w:id="33" w:name="_Toc477957438"/>
      <w:r>
        <w:rPr>
          <w:rFonts w:hint="eastAsia" w:ascii="仿宋" w:hAnsi="仿宋" w:eastAsia="仿宋" w:cs="仿宋"/>
          <w:sz w:val="24"/>
        </w:rPr>
        <w:t>法定代表人（签字或盖章）：×××××。</w:t>
      </w:r>
      <w:bookmarkEnd w:id="31"/>
      <w:bookmarkEnd w:id="32"/>
      <w:bookmarkEnd w:id="33"/>
    </w:p>
    <w:p>
      <w:pPr>
        <w:widowControl/>
        <w:snapToGrid w:val="0"/>
        <w:spacing w:line="480" w:lineRule="auto"/>
        <w:ind w:firstLine="470" w:firstLineChars="196"/>
        <w:jc w:val="left"/>
        <w:outlineLvl w:val="1"/>
        <w:rPr>
          <w:rFonts w:hint="eastAsia" w:ascii="仿宋" w:hAnsi="仿宋" w:eastAsia="仿宋" w:cs="仿宋"/>
          <w:sz w:val="24"/>
        </w:rPr>
      </w:pPr>
      <w:bookmarkStart w:id="34" w:name="_Toc469324521"/>
      <w:bookmarkStart w:id="35" w:name="_Toc477957289"/>
      <w:bookmarkStart w:id="36" w:name="_Toc477957439"/>
      <w:r>
        <w:rPr>
          <w:rFonts w:hint="eastAsia" w:ascii="仿宋" w:hAnsi="仿宋" w:eastAsia="仿宋" w:cs="仿宋"/>
          <w:sz w:val="24"/>
        </w:rPr>
        <w:t>授权代表（签字）：×××××。</w:t>
      </w:r>
      <w:bookmarkEnd w:id="34"/>
      <w:bookmarkEnd w:id="35"/>
      <w:bookmarkEnd w:id="36"/>
    </w:p>
    <w:p>
      <w:pPr>
        <w:widowControl/>
        <w:snapToGrid w:val="0"/>
        <w:spacing w:line="480" w:lineRule="auto"/>
        <w:ind w:firstLine="470" w:firstLineChars="196"/>
        <w:jc w:val="left"/>
        <w:outlineLvl w:val="1"/>
        <w:rPr>
          <w:rFonts w:hint="eastAsia" w:ascii="仿宋" w:hAnsi="仿宋" w:eastAsia="仿宋" w:cs="仿宋"/>
          <w:sz w:val="24"/>
        </w:rPr>
      </w:pPr>
      <w:bookmarkStart w:id="37" w:name="_Toc477957290"/>
      <w:bookmarkStart w:id="38" w:name="_Toc469324522"/>
      <w:bookmarkStart w:id="39" w:name="_Toc477957440"/>
      <w:r>
        <w:rPr>
          <w:rFonts w:hint="eastAsia" w:ascii="仿宋" w:hAnsi="仿宋" w:eastAsia="仿宋" w:cs="仿宋"/>
          <w:sz w:val="24"/>
        </w:rPr>
        <w:t>比选人名称：×××××（单位公章）。</w:t>
      </w:r>
      <w:bookmarkEnd w:id="37"/>
      <w:bookmarkEnd w:id="38"/>
      <w:bookmarkEnd w:id="39"/>
    </w:p>
    <w:p>
      <w:pPr>
        <w:widowControl/>
        <w:snapToGrid w:val="0"/>
        <w:spacing w:line="480" w:lineRule="auto"/>
        <w:ind w:firstLine="470" w:firstLineChars="196"/>
        <w:jc w:val="left"/>
        <w:outlineLvl w:val="1"/>
        <w:rPr>
          <w:rFonts w:hint="eastAsia" w:ascii="仿宋" w:hAnsi="仿宋" w:eastAsia="仿宋" w:cs="仿宋"/>
          <w:sz w:val="24"/>
        </w:rPr>
      </w:pPr>
      <w:bookmarkStart w:id="40" w:name="_Toc469324523"/>
      <w:bookmarkStart w:id="41" w:name="_Toc477957291"/>
      <w:bookmarkStart w:id="42" w:name="_Toc477957441"/>
      <w:r>
        <w:rPr>
          <w:rFonts w:hint="eastAsia" w:ascii="仿宋" w:hAnsi="仿宋" w:eastAsia="仿宋" w:cs="仿宋"/>
          <w:sz w:val="24"/>
        </w:rPr>
        <w:t>日期：×××××。</w:t>
      </w:r>
      <w:bookmarkEnd w:id="40"/>
      <w:bookmarkEnd w:id="41"/>
      <w:bookmarkEnd w:id="42"/>
    </w:p>
    <w:p>
      <w:pPr>
        <w:widowControl/>
        <w:snapToGrid w:val="0"/>
        <w:spacing w:line="480" w:lineRule="auto"/>
        <w:ind w:firstLine="470" w:firstLineChars="196"/>
        <w:jc w:val="left"/>
        <w:outlineLvl w:val="1"/>
        <w:rPr>
          <w:rFonts w:hint="eastAsia" w:ascii="仿宋" w:hAnsi="仿宋" w:eastAsia="仿宋" w:cs="仿宋"/>
          <w:sz w:val="24"/>
        </w:rPr>
      </w:pPr>
    </w:p>
    <w:p>
      <w:pPr>
        <w:widowControl/>
        <w:snapToGrid w:val="0"/>
        <w:spacing w:line="480" w:lineRule="auto"/>
        <w:ind w:firstLine="470" w:firstLineChars="196"/>
        <w:jc w:val="left"/>
        <w:outlineLvl w:val="1"/>
        <w:rPr>
          <w:rFonts w:hint="eastAsia" w:ascii="仿宋" w:hAnsi="仿宋" w:eastAsia="仿宋" w:cs="仿宋"/>
          <w:sz w:val="24"/>
        </w:rPr>
      </w:pPr>
    </w:p>
    <w:p>
      <w:pPr>
        <w:snapToGrid w:val="0"/>
        <w:spacing w:afterLines="50" w:line="360" w:lineRule="auto"/>
        <w:ind w:firstLine="480" w:firstLineChars="200"/>
        <w:rPr>
          <w:rFonts w:hint="eastAsia" w:ascii="仿宋" w:hAnsi="仿宋" w:eastAsia="仿宋" w:cs="仿宋"/>
          <w:sz w:val="24"/>
        </w:rPr>
      </w:pPr>
      <w:r>
        <w:rPr>
          <w:rFonts w:hint="eastAsia" w:ascii="仿宋" w:hAnsi="仿宋" w:eastAsia="仿宋" w:cs="仿宋"/>
          <w:sz w:val="24"/>
        </w:rPr>
        <w:t>后附：</w:t>
      </w:r>
    </w:p>
    <w:p>
      <w:pPr>
        <w:snapToGrid w:val="0"/>
        <w:spacing w:afterLines="50" w:line="360" w:lineRule="auto"/>
        <w:ind w:firstLine="480" w:firstLineChars="200"/>
        <w:rPr>
          <w:rFonts w:hint="eastAsia" w:ascii="仿宋" w:hAnsi="仿宋" w:eastAsia="仿宋" w:cs="仿宋"/>
          <w:sz w:val="24"/>
        </w:rPr>
      </w:pPr>
      <w:r>
        <w:rPr>
          <w:rFonts w:hint="eastAsia" w:ascii="仿宋" w:hAnsi="仿宋" w:eastAsia="仿宋" w:cs="仿宋"/>
          <w:sz w:val="24"/>
        </w:rPr>
        <w:t>1、授权代表身份证复印件（正反面，加盖公章）</w:t>
      </w:r>
    </w:p>
    <w:p>
      <w:pPr>
        <w:pStyle w:val="53"/>
        <w:snapToGrid w:val="0"/>
        <w:ind w:firstLine="0" w:firstLineChars="0"/>
        <w:rPr>
          <w:rFonts w:hint="eastAsia" w:ascii="仿宋" w:hAnsi="仿宋" w:eastAsia="仿宋" w:cs="仿宋"/>
          <w:b/>
          <w:sz w:val="30"/>
          <w:szCs w:val="30"/>
        </w:rPr>
      </w:pPr>
    </w:p>
    <w:p>
      <w:pPr>
        <w:snapToGrid w:val="0"/>
        <w:spacing w:beforeLines="150" w:afterLines="100" w:line="360" w:lineRule="auto"/>
        <w:jc w:val="center"/>
        <w:rPr>
          <w:rFonts w:hint="eastAsia" w:ascii="仿宋" w:hAnsi="仿宋" w:eastAsia="仿宋" w:cs="仿宋"/>
          <w:b/>
          <w:sz w:val="30"/>
          <w:szCs w:val="30"/>
        </w:rPr>
      </w:pPr>
    </w:p>
    <w:p>
      <w:pPr>
        <w:pStyle w:val="53"/>
        <w:snapToGrid w:val="0"/>
        <w:ind w:firstLine="0" w:firstLineChars="0"/>
        <w:jc w:val="center"/>
        <w:rPr>
          <w:rFonts w:hint="eastAsia" w:ascii="仿宋" w:hAnsi="仿宋" w:eastAsia="仿宋" w:cs="仿宋"/>
          <w:b/>
          <w:sz w:val="30"/>
          <w:szCs w:val="30"/>
        </w:rPr>
      </w:pPr>
      <w:bookmarkStart w:id="43" w:name="_Toc217446086"/>
    </w:p>
    <w:p>
      <w:pPr>
        <w:pStyle w:val="53"/>
        <w:snapToGrid w:val="0"/>
        <w:ind w:firstLine="0" w:firstLineChars="0"/>
        <w:jc w:val="center"/>
        <w:rPr>
          <w:rFonts w:hint="eastAsia" w:ascii="仿宋" w:hAnsi="仿宋" w:eastAsia="仿宋" w:cs="仿宋"/>
          <w:b/>
          <w:sz w:val="30"/>
          <w:szCs w:val="30"/>
        </w:rPr>
      </w:pPr>
    </w:p>
    <w:p>
      <w:pPr>
        <w:pStyle w:val="10"/>
        <w:spacing w:before="120" w:beforeLines="50" w:after="120" w:afterLines="50"/>
        <w:jc w:val="center"/>
        <w:rPr>
          <w:rFonts w:hAnsi="宋体"/>
          <w:sz w:val="30"/>
          <w:szCs w:val="30"/>
        </w:rPr>
      </w:pPr>
      <w:r>
        <w:rPr>
          <w:rFonts w:hint="eastAsia" w:hAnsi="宋体"/>
          <w:b/>
          <w:sz w:val="28"/>
          <w:szCs w:val="28"/>
          <w:lang w:val="en-US" w:eastAsia="zh-CN"/>
        </w:rPr>
        <w:t>二、</w:t>
      </w:r>
      <w:r>
        <w:rPr>
          <w:rFonts w:hAnsi="宋体"/>
          <w:b/>
          <w:sz w:val="28"/>
          <w:szCs w:val="28"/>
        </w:rPr>
        <w:t xml:space="preserve"> </w:t>
      </w:r>
      <w:r>
        <w:rPr>
          <w:rFonts w:hint="eastAsia" w:hAnsi="宋体"/>
          <w:b/>
          <w:sz w:val="28"/>
          <w:szCs w:val="28"/>
        </w:rPr>
        <w:t>投标函</w:t>
      </w:r>
    </w:p>
    <w:p>
      <w:pPr>
        <w:pStyle w:val="10"/>
        <w:spacing w:line="360" w:lineRule="auto"/>
        <w:rPr>
          <w:rFonts w:hAnsi="宋体"/>
          <w:u w:val="single"/>
        </w:rPr>
      </w:pPr>
      <w:r>
        <w:rPr>
          <w:rFonts w:hAnsi="宋体"/>
          <w:u w:val="single"/>
        </w:rPr>
        <w:t xml:space="preserve">        </w:t>
      </w:r>
      <w:r>
        <w:rPr>
          <w:rFonts w:hint="eastAsia" w:hAnsi="宋体"/>
          <w:u w:val="single"/>
        </w:rPr>
        <w:t>（比选人名称）</w:t>
      </w:r>
      <w:r>
        <w:rPr>
          <w:rFonts w:hAnsi="宋体"/>
          <w:u w:val="single"/>
        </w:rPr>
        <w:t xml:space="preserve"> </w:t>
      </w:r>
    </w:p>
    <w:p>
      <w:pPr>
        <w:spacing w:line="360" w:lineRule="auto"/>
        <w:ind w:firstLine="420" w:firstLineChars="200"/>
        <w:rPr>
          <w:rFonts w:ascii="宋体"/>
          <w:bCs/>
          <w:szCs w:val="21"/>
        </w:rPr>
      </w:pPr>
      <w:r>
        <w:rPr>
          <w:rFonts w:hAnsi="宋体"/>
        </w:rPr>
        <w:t>1.</w:t>
      </w:r>
      <w:r>
        <w:rPr>
          <w:rFonts w:hint="eastAsia" w:hAnsi="宋体"/>
        </w:rPr>
        <w:t>我方已仔细研究了</w:t>
      </w:r>
      <w:r>
        <w:rPr>
          <w:rFonts w:ascii="宋体" w:hAnsi="宋体"/>
          <w:u w:val="single"/>
        </w:rPr>
        <w:t xml:space="preserve">   </w:t>
      </w:r>
      <w:r>
        <w:rPr>
          <w:rFonts w:hint="eastAsia" w:ascii="宋体" w:hAnsi="宋体"/>
          <w:u w:val="single"/>
        </w:rPr>
        <w:t>（项目名称）</w:t>
      </w:r>
      <w:r>
        <w:rPr>
          <w:rFonts w:ascii="宋体" w:hAnsi="宋体"/>
          <w:u w:val="single"/>
        </w:rPr>
        <w:t xml:space="preserve">  </w:t>
      </w:r>
      <w:r>
        <w:rPr>
          <w:rFonts w:hint="eastAsia" w:hAnsi="宋体"/>
        </w:rPr>
        <w:t>第</w:t>
      </w:r>
      <w:r>
        <w:rPr>
          <w:rFonts w:hAnsi="宋体"/>
          <w:u w:val="single"/>
        </w:rPr>
        <w:t xml:space="preserve"> </w:t>
      </w:r>
      <w:r>
        <w:rPr>
          <w:rFonts w:hint="eastAsia" w:hAnsi="宋体"/>
          <w:u w:val="single"/>
          <w:lang w:val="en-US" w:eastAsia="zh-CN"/>
        </w:rPr>
        <w:t xml:space="preserve">    </w:t>
      </w:r>
      <w:r>
        <w:rPr>
          <w:rFonts w:hAnsi="宋体"/>
          <w:u w:val="single"/>
        </w:rPr>
        <w:t xml:space="preserve"> </w:t>
      </w:r>
      <w:r>
        <w:rPr>
          <w:rFonts w:hint="eastAsia" w:hAnsi="宋体"/>
        </w:rPr>
        <w:t>标段比选文件的全部内容，</w:t>
      </w:r>
      <w:r>
        <w:rPr>
          <w:rFonts w:hint="eastAsia" w:ascii="宋体" w:hAnsi="宋体"/>
          <w:bCs/>
          <w:szCs w:val="21"/>
        </w:rPr>
        <w:t>在自行考察后，</w:t>
      </w:r>
      <w:r>
        <w:rPr>
          <w:rFonts w:hint="eastAsia" w:ascii="宋体" w:hAnsi="宋体" w:cs="宋体"/>
        </w:rPr>
        <w:t>愿意</w:t>
      </w:r>
      <w:r>
        <w:rPr>
          <w:rFonts w:hint="eastAsia" w:ascii="宋体" w:hAnsi="宋体" w:cs="宋体"/>
          <w:lang w:val="en-US" w:eastAsia="zh-CN"/>
        </w:rPr>
        <w:t>以保养单价合计</w:t>
      </w:r>
      <w:r>
        <w:rPr>
          <w:rFonts w:hint="eastAsia" w:ascii="宋体" w:hAnsi="宋体" w:cs="宋体"/>
          <w:u w:val="single"/>
          <w:lang w:val="en-US" w:eastAsia="zh-CN"/>
        </w:rPr>
        <w:t xml:space="preserve">      </w:t>
      </w:r>
      <w:r>
        <w:rPr>
          <w:rFonts w:hint="eastAsia" w:ascii="宋体" w:hAnsi="宋体" w:cs="宋体"/>
          <w:u w:val="none"/>
          <w:lang w:val="en-US" w:eastAsia="zh-CN"/>
        </w:rPr>
        <w:t>元的标段总投标报价，并</w:t>
      </w:r>
      <w:r>
        <w:rPr>
          <w:rFonts w:hint="eastAsia" w:ascii="宋体" w:hAnsi="宋体" w:cs="宋体"/>
        </w:rPr>
        <w:t>按照合同约定实施和完成</w:t>
      </w:r>
      <w:r>
        <w:rPr>
          <w:rFonts w:hint="eastAsia" w:ascii="宋体" w:hAnsi="宋体" w:cs="宋体"/>
          <w:lang w:val="en-US" w:eastAsia="zh-CN"/>
        </w:rPr>
        <w:t>项目</w:t>
      </w:r>
      <w:r>
        <w:rPr>
          <w:rFonts w:hint="eastAsia" w:ascii="宋体" w:hAnsi="宋体" w:cs="宋体"/>
        </w:rPr>
        <w:t>，修补</w:t>
      </w:r>
      <w:r>
        <w:rPr>
          <w:rFonts w:hint="eastAsia" w:ascii="宋体" w:hAnsi="宋体" w:cs="宋体"/>
          <w:lang w:val="en-US" w:eastAsia="zh-CN"/>
        </w:rPr>
        <w:t>项目</w:t>
      </w:r>
      <w:r>
        <w:rPr>
          <w:rFonts w:hint="eastAsia" w:ascii="宋体" w:hAnsi="宋体" w:cs="宋体"/>
        </w:rPr>
        <w:t>中的任何缺陷，其中投标报价详见报价函。</w:t>
      </w:r>
    </w:p>
    <w:p>
      <w:pPr>
        <w:spacing w:line="360" w:lineRule="auto"/>
        <w:ind w:firstLine="420" w:firstLineChars="200"/>
        <w:rPr>
          <w:rFonts w:ascii="宋体"/>
          <w:bCs/>
          <w:szCs w:val="21"/>
        </w:rPr>
      </w:pPr>
      <w:r>
        <w:rPr>
          <w:rFonts w:hAnsi="宋体"/>
        </w:rPr>
        <w:t>2.</w:t>
      </w:r>
      <w:r>
        <w:rPr>
          <w:rFonts w:hint="eastAsia" w:ascii="宋体" w:hAnsi="宋体"/>
          <w:bCs/>
          <w:szCs w:val="21"/>
        </w:rPr>
        <w:t>我方承诺在比选文件规定的投标截止期后不撤销比选申请文件</w:t>
      </w:r>
    </w:p>
    <w:p>
      <w:pPr>
        <w:spacing w:line="360" w:lineRule="auto"/>
        <w:ind w:firstLine="420"/>
        <w:rPr>
          <w:rFonts w:ascii="宋体"/>
          <w:szCs w:val="21"/>
        </w:rPr>
      </w:pPr>
      <w:r>
        <w:rPr>
          <w:rFonts w:hAnsi="宋体"/>
        </w:rPr>
        <w:t>3.</w:t>
      </w:r>
      <w:r>
        <w:rPr>
          <w:rFonts w:hint="eastAsia" w:ascii="宋体" w:hAnsi="宋体"/>
          <w:szCs w:val="21"/>
        </w:rPr>
        <w:t>质量：</w:t>
      </w:r>
      <w:r>
        <w:rPr>
          <w:rFonts w:hint="eastAsia" w:ascii="宋体" w:hAnsi="宋体"/>
          <w:szCs w:val="21"/>
          <w:u w:val="single"/>
        </w:rPr>
        <w:t>满足比选文件要求</w:t>
      </w:r>
      <w:r>
        <w:rPr>
          <w:rFonts w:hint="eastAsia" w:ascii="宋体" w:hAnsi="宋体"/>
          <w:szCs w:val="21"/>
        </w:rPr>
        <w:t>，安全目标：</w:t>
      </w:r>
      <w:r>
        <w:rPr>
          <w:rFonts w:hint="eastAsia" w:ascii="宋体" w:hAnsi="宋体"/>
          <w:szCs w:val="21"/>
          <w:u w:val="single"/>
        </w:rPr>
        <w:t>满足比选文件要求</w:t>
      </w:r>
      <w:r>
        <w:rPr>
          <w:rFonts w:hint="eastAsia" w:ascii="宋体" w:hAnsi="宋体"/>
          <w:szCs w:val="21"/>
        </w:rPr>
        <w:t>，合同工期</w:t>
      </w:r>
      <w:r>
        <w:rPr>
          <w:rFonts w:hint="eastAsia" w:ascii="宋体" w:hAnsi="宋体"/>
          <w:color w:val="000000"/>
          <w:szCs w:val="21"/>
        </w:rPr>
        <w:t>：</w:t>
      </w:r>
      <w:r>
        <w:rPr>
          <w:rFonts w:hint="eastAsia" w:ascii="宋体" w:hAnsi="宋体"/>
          <w:color w:val="000000"/>
          <w:szCs w:val="21"/>
          <w:u w:val="single"/>
        </w:rPr>
        <w:t>2</w:t>
      </w:r>
      <w:r>
        <w:rPr>
          <w:rFonts w:hint="eastAsia" w:ascii="宋体" w:hAnsi="宋体"/>
          <w:color w:val="000000"/>
          <w:szCs w:val="21"/>
        </w:rPr>
        <w:t>年</w:t>
      </w:r>
      <w:r>
        <w:rPr>
          <w:rFonts w:hint="eastAsia" w:ascii="宋体" w:hAnsi="宋体"/>
          <w:szCs w:val="21"/>
        </w:rPr>
        <w:t>。</w:t>
      </w:r>
    </w:p>
    <w:p>
      <w:pPr>
        <w:spacing w:line="360" w:lineRule="auto"/>
        <w:ind w:firstLine="420"/>
        <w:rPr>
          <w:rFonts w:ascii="宋体"/>
          <w:szCs w:val="21"/>
        </w:rPr>
      </w:pPr>
      <w:r>
        <w:rPr>
          <w:rFonts w:hAnsi="宋体"/>
        </w:rPr>
        <w:t>4.</w:t>
      </w:r>
      <w:r>
        <w:rPr>
          <w:rFonts w:hint="eastAsia" w:ascii="宋体" w:hAnsi="宋体"/>
          <w:szCs w:val="21"/>
        </w:rPr>
        <w:t>如我方中标，我方承诺：</w:t>
      </w:r>
    </w:p>
    <w:p>
      <w:pPr>
        <w:spacing w:line="360" w:lineRule="auto"/>
        <w:ind w:firstLine="525" w:firstLineChars="250"/>
        <w:rPr>
          <w:rFonts w:ascii="宋体"/>
          <w:szCs w:val="21"/>
        </w:rPr>
      </w:pPr>
      <w:r>
        <w:rPr>
          <w:rFonts w:hint="eastAsia" w:ascii="宋体" w:hAnsi="宋体"/>
          <w:szCs w:val="21"/>
        </w:rPr>
        <w:t>（</w:t>
      </w:r>
      <w:r>
        <w:rPr>
          <w:rFonts w:ascii="宋体" w:hAnsi="宋体"/>
          <w:szCs w:val="21"/>
        </w:rPr>
        <w:t>1</w:t>
      </w:r>
      <w:r>
        <w:rPr>
          <w:rFonts w:hint="eastAsia" w:ascii="宋体" w:hAnsi="宋体"/>
          <w:szCs w:val="21"/>
        </w:rPr>
        <w:t>）在收到中标通知书后，在中标通知书规定的期限内与你方签订合同；</w:t>
      </w:r>
    </w:p>
    <w:p>
      <w:pPr>
        <w:spacing w:line="360" w:lineRule="auto"/>
        <w:ind w:firstLine="420"/>
        <w:rPr>
          <w:rFonts w:ascii="宋体"/>
          <w:szCs w:val="21"/>
        </w:rPr>
      </w:pPr>
      <w:r>
        <w:rPr>
          <w:rFonts w:ascii="宋体" w:hAnsi="宋体"/>
          <w:szCs w:val="21"/>
        </w:rPr>
        <w:t xml:space="preserve"> </w:t>
      </w:r>
      <w:r>
        <w:rPr>
          <w:rFonts w:hint="eastAsia" w:ascii="宋体" w:hAnsi="宋体"/>
          <w:szCs w:val="21"/>
        </w:rPr>
        <w:t>（</w:t>
      </w:r>
      <w:r>
        <w:rPr>
          <w:rFonts w:ascii="宋体" w:hAnsi="宋体"/>
          <w:szCs w:val="21"/>
        </w:rPr>
        <w:t>2</w:t>
      </w:r>
      <w:r>
        <w:rPr>
          <w:rFonts w:hint="eastAsia" w:ascii="宋体" w:hAnsi="宋体"/>
          <w:szCs w:val="21"/>
        </w:rPr>
        <w:t>）在签订合同时不向你方提出附加条件；</w:t>
      </w:r>
    </w:p>
    <w:p>
      <w:pPr>
        <w:spacing w:line="360" w:lineRule="auto"/>
        <w:ind w:firstLine="420"/>
        <w:rPr>
          <w:rFonts w:ascii="宋体"/>
          <w:szCs w:val="21"/>
        </w:rPr>
      </w:pPr>
      <w:r>
        <w:rPr>
          <w:rFonts w:ascii="宋体" w:hAnsi="宋体"/>
          <w:szCs w:val="21"/>
        </w:rPr>
        <w:t xml:space="preserve"> </w:t>
      </w:r>
      <w:r>
        <w:rPr>
          <w:rFonts w:hint="eastAsia" w:ascii="宋体" w:hAnsi="宋体"/>
          <w:szCs w:val="21"/>
        </w:rPr>
        <w:t>（</w:t>
      </w:r>
      <w:r>
        <w:rPr>
          <w:rFonts w:hint="eastAsia" w:ascii="宋体" w:hAnsi="宋体"/>
          <w:szCs w:val="21"/>
          <w:lang w:val="en-US" w:eastAsia="zh-CN"/>
        </w:rPr>
        <w:t>3</w:t>
      </w:r>
      <w:r>
        <w:rPr>
          <w:rFonts w:hint="eastAsia" w:ascii="宋体" w:hAnsi="宋体"/>
          <w:szCs w:val="21"/>
        </w:rPr>
        <w:t>）在合同约定的期限内完成合同规定的全部义务；</w:t>
      </w:r>
    </w:p>
    <w:p>
      <w:pPr>
        <w:spacing w:line="360" w:lineRule="auto"/>
        <w:ind w:firstLine="525" w:firstLineChars="250"/>
        <w:rPr>
          <w:rFonts w:ascii="宋体"/>
          <w:bCs/>
          <w:szCs w:val="21"/>
        </w:rPr>
      </w:pPr>
      <w:r>
        <w:rPr>
          <w:rFonts w:hint="eastAsia" w:hAnsi="宋体"/>
        </w:rPr>
        <w:t>（</w:t>
      </w:r>
      <w:r>
        <w:rPr>
          <w:rFonts w:hint="eastAsia" w:hAnsi="宋体"/>
          <w:lang w:val="en-US" w:eastAsia="zh-CN"/>
        </w:rPr>
        <w:t>4</w:t>
      </w:r>
      <w:r>
        <w:rPr>
          <w:rFonts w:hint="eastAsia" w:hAnsi="宋体"/>
        </w:rPr>
        <w:t>）</w:t>
      </w:r>
      <w:r>
        <w:rPr>
          <w:rFonts w:hint="eastAsia" w:ascii="宋体" w:hAnsi="宋体"/>
          <w:bCs/>
          <w:szCs w:val="21"/>
        </w:rPr>
        <w:t>在你方和我方进行合同谈判之前，我方将按照合同附件提出的最低要求填报派驻本项目标段的其他管理和技术人员及主要机械设备和试验检测设备，经你方审批后作为派驻本标段的项目管理机构主要人员和主要设备且不进行更换。且在合同履行过程中，根据需要和发包人要求进行增派，如我方拟</w:t>
      </w:r>
      <w:r>
        <w:rPr>
          <w:rFonts w:hint="eastAsia" w:ascii="宋体" w:hAnsi="宋体"/>
          <w:bCs/>
          <w:szCs w:val="21"/>
          <w:lang w:val="en-US" w:eastAsia="zh-CN"/>
        </w:rPr>
        <w:t>派</w:t>
      </w:r>
      <w:r>
        <w:rPr>
          <w:rFonts w:hint="eastAsia" w:ascii="宋体" w:hAnsi="宋体"/>
          <w:bCs/>
          <w:szCs w:val="21"/>
        </w:rPr>
        <w:t>的人员和设备不满足合同附件要求，你方有权取消我方中标资格。</w:t>
      </w:r>
    </w:p>
    <w:p>
      <w:pPr>
        <w:spacing w:line="360" w:lineRule="auto"/>
        <w:ind w:firstLine="420" w:firstLineChars="200"/>
        <w:rPr>
          <w:rFonts w:ascii="宋体"/>
          <w:bCs/>
          <w:szCs w:val="21"/>
        </w:rPr>
      </w:pPr>
      <w:r>
        <w:rPr>
          <w:rFonts w:hAnsi="宋体"/>
        </w:rPr>
        <w:t>5.</w:t>
      </w:r>
      <w:r>
        <w:rPr>
          <w:rFonts w:hint="eastAsia" w:ascii="宋体" w:hAnsi="宋体"/>
          <w:bCs/>
          <w:szCs w:val="21"/>
        </w:rPr>
        <w:t>我方在此声明，所递交的比选申请文件及有关资料内容完整、真实和准确。</w:t>
      </w:r>
    </w:p>
    <w:p>
      <w:pPr>
        <w:spacing w:line="360" w:lineRule="auto"/>
        <w:ind w:firstLine="420" w:firstLineChars="200"/>
        <w:rPr>
          <w:rFonts w:ascii="宋体"/>
          <w:bCs/>
          <w:szCs w:val="21"/>
        </w:rPr>
      </w:pPr>
      <w:r>
        <w:rPr>
          <w:rFonts w:ascii="宋体" w:hAnsi="宋体"/>
          <w:bCs/>
          <w:szCs w:val="21"/>
        </w:rPr>
        <w:t>6.</w:t>
      </w:r>
      <w:r>
        <w:rPr>
          <w:rFonts w:hint="eastAsia" w:ascii="宋体" w:hAnsi="宋体"/>
          <w:bCs/>
          <w:szCs w:val="21"/>
        </w:rPr>
        <w:t>在合同协议书正式签署生效之前，本投标函连同你方的中标通知书将构成我们双方之间共同遵守的文件，对双方具有约束力。</w:t>
      </w:r>
    </w:p>
    <w:p>
      <w:pPr>
        <w:spacing w:line="360" w:lineRule="auto"/>
        <w:ind w:firstLine="420" w:firstLineChars="200"/>
        <w:rPr>
          <w:rFonts w:ascii="宋体"/>
          <w:bCs/>
          <w:szCs w:val="21"/>
          <w:u w:val="single"/>
        </w:rPr>
      </w:pPr>
      <w:r>
        <w:rPr>
          <w:rFonts w:hAnsi="宋体"/>
        </w:rPr>
        <w:t>7.</w:t>
      </w:r>
      <w:r>
        <w:rPr>
          <w:rFonts w:ascii="宋体" w:hAnsi="宋体"/>
          <w:bCs/>
          <w:szCs w:val="21"/>
          <w:u w:val="single"/>
        </w:rPr>
        <w:t xml:space="preserve">                                     </w:t>
      </w:r>
      <w:r>
        <w:rPr>
          <w:rFonts w:hint="eastAsia" w:hAnsi="宋体"/>
        </w:rPr>
        <w:t>（其他补充说明）。</w:t>
      </w:r>
    </w:p>
    <w:p>
      <w:pPr>
        <w:pStyle w:val="10"/>
        <w:spacing w:line="360" w:lineRule="auto"/>
        <w:rPr>
          <w:rFonts w:hAnsi="宋体"/>
        </w:rPr>
      </w:pPr>
    </w:p>
    <w:p>
      <w:pPr>
        <w:pStyle w:val="10"/>
        <w:spacing w:line="360" w:lineRule="auto"/>
        <w:ind w:firstLine="3255" w:firstLineChars="1550"/>
        <w:rPr>
          <w:rFonts w:hAnsi="宋体"/>
        </w:rPr>
      </w:pPr>
      <w:r>
        <w:rPr>
          <w:rFonts w:hint="eastAsia" w:hAnsi="宋体"/>
        </w:rPr>
        <w:t>比选申请人：</w:t>
      </w:r>
      <w:r>
        <w:rPr>
          <w:rFonts w:hint="eastAsia" w:hAnsi="宋体"/>
          <w:u w:val="single"/>
        </w:rPr>
        <w:t>（单位全称）</w:t>
      </w:r>
      <w:r>
        <w:rPr>
          <w:rFonts w:hAnsi="宋体"/>
          <w:u w:val="single"/>
        </w:rPr>
        <w:t xml:space="preserve">       </w:t>
      </w:r>
      <w:r>
        <w:rPr>
          <w:rFonts w:hint="eastAsia" w:hAnsi="宋体"/>
          <w:u w:val="single"/>
        </w:rPr>
        <w:t>（盖单位章）</w:t>
      </w:r>
      <w:r>
        <w:rPr>
          <w:rFonts w:hAnsi="宋体"/>
          <w:u w:val="single"/>
        </w:rPr>
        <w:t xml:space="preserve">  </w:t>
      </w:r>
    </w:p>
    <w:p>
      <w:pPr>
        <w:pStyle w:val="10"/>
        <w:spacing w:line="360" w:lineRule="auto"/>
        <w:rPr>
          <w:rFonts w:hAnsi="宋体"/>
        </w:rPr>
      </w:pPr>
      <w:r>
        <w:rPr>
          <w:rFonts w:hAnsi="宋体"/>
        </w:rPr>
        <w:t xml:space="preserve">                               </w:t>
      </w:r>
      <w:r>
        <w:rPr>
          <w:rFonts w:hint="eastAsia" w:hAnsi="宋体"/>
        </w:rPr>
        <w:t>法定代表人或其委托代理人：</w:t>
      </w:r>
      <w:r>
        <w:rPr>
          <w:rFonts w:hAnsi="宋体"/>
          <w:u w:val="single"/>
        </w:rPr>
        <w:t xml:space="preserve">   </w:t>
      </w:r>
      <w:r>
        <w:rPr>
          <w:rFonts w:hint="eastAsia" w:hAnsi="宋体"/>
          <w:u w:val="single"/>
        </w:rPr>
        <w:t>（签字）</w:t>
      </w:r>
      <w:r>
        <w:rPr>
          <w:rFonts w:hAnsi="宋体"/>
          <w:u w:val="single"/>
        </w:rPr>
        <w:t xml:space="preserve">   </w:t>
      </w:r>
    </w:p>
    <w:p>
      <w:pPr>
        <w:pStyle w:val="10"/>
        <w:spacing w:line="360" w:lineRule="auto"/>
        <w:rPr>
          <w:rFonts w:hAnsi="宋体"/>
        </w:rPr>
      </w:pPr>
      <w:r>
        <w:rPr>
          <w:rFonts w:hAnsi="宋体"/>
        </w:rPr>
        <w:t xml:space="preserve">                               </w:t>
      </w:r>
      <w:r>
        <w:rPr>
          <w:rFonts w:hint="eastAsia" w:hAnsi="宋体"/>
        </w:rPr>
        <w:t>比选申请人地址：</w:t>
      </w:r>
      <w:r>
        <w:rPr>
          <w:rFonts w:hAnsi="宋体"/>
        </w:rPr>
        <w:t xml:space="preserve">                             </w:t>
      </w:r>
    </w:p>
    <w:p>
      <w:pPr>
        <w:pStyle w:val="10"/>
        <w:spacing w:line="360" w:lineRule="auto"/>
        <w:ind w:firstLine="3275" w:firstLineChars="1250"/>
        <w:rPr>
          <w:rFonts w:hAnsi="宋体"/>
        </w:rPr>
      </w:pPr>
      <w:r>
        <w:rPr>
          <w:rFonts w:hint="eastAsia" w:hAnsi="宋体"/>
          <w:spacing w:val="26"/>
        </w:rPr>
        <w:t>邮政编码</w:t>
      </w:r>
      <w:r>
        <w:rPr>
          <w:rFonts w:hint="eastAsia" w:hAnsi="宋体"/>
        </w:rPr>
        <w:t>：</w:t>
      </w:r>
      <w:r>
        <w:rPr>
          <w:rFonts w:hAnsi="宋体"/>
        </w:rPr>
        <w:t xml:space="preserve">                                   </w:t>
      </w:r>
    </w:p>
    <w:p>
      <w:pPr>
        <w:pStyle w:val="10"/>
        <w:spacing w:line="360" w:lineRule="auto"/>
        <w:ind w:firstLine="3255" w:firstLineChars="1550"/>
        <w:rPr>
          <w:rFonts w:hAnsi="宋体"/>
          <w:u w:val="single"/>
        </w:rPr>
      </w:pPr>
      <w:r>
        <w:rPr>
          <w:rFonts w:hint="eastAsia" w:hAnsi="宋体"/>
        </w:rPr>
        <w:t>电</w:t>
      </w:r>
      <w:r>
        <w:rPr>
          <w:rFonts w:hAnsi="宋体"/>
        </w:rPr>
        <w:t xml:space="preserve">      </w:t>
      </w:r>
      <w:r>
        <w:rPr>
          <w:rFonts w:hint="eastAsia" w:hAnsi="宋体"/>
        </w:rPr>
        <w:t>话：</w:t>
      </w:r>
      <w:r>
        <w:rPr>
          <w:rFonts w:hAnsi="宋体"/>
        </w:rPr>
        <w:t xml:space="preserve">                                   </w:t>
      </w:r>
    </w:p>
    <w:p>
      <w:pPr>
        <w:pStyle w:val="10"/>
        <w:spacing w:line="360" w:lineRule="auto"/>
        <w:ind w:firstLine="3255" w:firstLineChars="1550"/>
        <w:rPr>
          <w:rFonts w:hAnsi="宋体"/>
          <w:u w:val="single"/>
        </w:rPr>
      </w:pPr>
      <w:r>
        <w:rPr>
          <w:rFonts w:hint="eastAsia" w:hAnsi="宋体"/>
        </w:rPr>
        <w:t>传</w:t>
      </w:r>
      <w:r>
        <w:rPr>
          <w:rFonts w:hAnsi="宋体"/>
        </w:rPr>
        <w:t xml:space="preserve">      </w:t>
      </w:r>
      <w:r>
        <w:rPr>
          <w:rFonts w:hint="eastAsia" w:hAnsi="宋体"/>
        </w:rPr>
        <w:t>真：</w:t>
      </w:r>
      <w:r>
        <w:rPr>
          <w:rFonts w:hAnsi="宋体"/>
        </w:rPr>
        <w:t xml:space="preserve">                                      </w:t>
      </w:r>
    </w:p>
    <w:p>
      <w:pPr>
        <w:pStyle w:val="10"/>
        <w:spacing w:line="360" w:lineRule="auto"/>
        <w:ind w:firstLine="3255" w:firstLineChars="1550"/>
        <w:rPr>
          <w:rFonts w:hAnsi="宋体"/>
        </w:rPr>
      </w:pPr>
      <w:r>
        <w:rPr>
          <w:rFonts w:hint="eastAsia" w:hAnsi="宋体"/>
        </w:rPr>
        <w:t>网</w:t>
      </w:r>
      <w:r>
        <w:rPr>
          <w:rFonts w:hAnsi="宋体"/>
        </w:rPr>
        <w:t xml:space="preserve">      </w:t>
      </w:r>
      <w:r>
        <w:rPr>
          <w:rFonts w:hint="eastAsia" w:hAnsi="宋体"/>
        </w:rPr>
        <w:t>址：</w:t>
      </w:r>
      <w:r>
        <w:rPr>
          <w:rFonts w:hAnsi="宋体"/>
        </w:rPr>
        <w:t xml:space="preserve">                                       </w:t>
      </w:r>
    </w:p>
    <w:p>
      <w:pPr>
        <w:pStyle w:val="10"/>
        <w:spacing w:line="360" w:lineRule="auto"/>
        <w:ind w:firstLine="3268" w:firstLineChars="1550"/>
        <w:jc w:val="center"/>
        <w:rPr>
          <w:rFonts w:hint="eastAsia" w:hAnsi="宋体"/>
          <w:b/>
          <w:bCs/>
        </w:rPr>
      </w:pPr>
      <w:r>
        <w:rPr>
          <w:rFonts w:hint="eastAsia" w:hAnsi="宋体"/>
          <w:b/>
          <w:bCs/>
        </w:rPr>
        <w:t>年</w:t>
      </w:r>
      <w:r>
        <w:rPr>
          <w:rFonts w:hAnsi="宋体"/>
          <w:b/>
          <w:bCs/>
        </w:rPr>
        <w:t xml:space="preserve">    </w:t>
      </w:r>
      <w:r>
        <w:rPr>
          <w:rFonts w:hint="eastAsia" w:hAnsi="宋体"/>
          <w:b/>
          <w:bCs/>
        </w:rPr>
        <w:t>月</w:t>
      </w:r>
      <w:r>
        <w:rPr>
          <w:rFonts w:hAnsi="宋体"/>
          <w:b/>
          <w:bCs/>
        </w:rPr>
        <w:t xml:space="preserve">    </w:t>
      </w:r>
      <w:r>
        <w:rPr>
          <w:rFonts w:hint="eastAsia" w:hAnsi="宋体"/>
          <w:b/>
          <w:bCs/>
        </w:rPr>
        <w:t>日</w:t>
      </w:r>
    </w:p>
    <w:p>
      <w:pPr>
        <w:pStyle w:val="10"/>
        <w:numPr>
          <w:ilvl w:val="0"/>
          <w:numId w:val="4"/>
        </w:numPr>
        <w:spacing w:line="360" w:lineRule="auto"/>
        <w:ind w:firstLine="3012" w:firstLineChars="1000"/>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报价清单（按所投标段填报）</w:t>
      </w:r>
    </w:p>
    <w:p>
      <w:pPr>
        <w:pStyle w:val="10"/>
        <w:numPr>
          <w:ilvl w:val="0"/>
          <w:numId w:val="0"/>
        </w:numPr>
        <w:spacing w:line="360" w:lineRule="auto"/>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标段1：成都处成都片区车辆定点维修</w:t>
      </w:r>
    </w:p>
    <w:tbl>
      <w:tblPr>
        <w:tblStyle w:val="20"/>
        <w:tblpPr w:leftFromText="180" w:rightFromText="180" w:vertAnchor="text" w:horzAnchor="page" w:tblpXSpec="center" w:tblpY="473"/>
        <w:tblOverlap w:val="never"/>
        <w:tblW w:w="99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5"/>
        <w:gridCol w:w="870"/>
        <w:gridCol w:w="1577"/>
        <w:gridCol w:w="1260"/>
        <w:gridCol w:w="1245"/>
        <w:gridCol w:w="1193"/>
        <w:gridCol w:w="1065"/>
        <w:gridCol w:w="1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jc w:val="center"/>
        </w:trPr>
        <w:tc>
          <w:tcPr>
            <w:tcW w:w="1375"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设备名称</w:t>
            </w:r>
          </w:p>
        </w:tc>
        <w:tc>
          <w:tcPr>
            <w:tcW w:w="870"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品牌</w:t>
            </w:r>
          </w:p>
        </w:tc>
        <w:tc>
          <w:tcPr>
            <w:tcW w:w="1577"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型号</w:t>
            </w:r>
          </w:p>
        </w:tc>
        <w:tc>
          <w:tcPr>
            <w:tcW w:w="2505" w:type="dxa"/>
            <w:gridSpan w:val="2"/>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业主估算价（元）</w:t>
            </w:r>
          </w:p>
        </w:tc>
        <w:tc>
          <w:tcPr>
            <w:tcW w:w="2258" w:type="dxa"/>
            <w:gridSpan w:val="2"/>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投标人报价（元）</w:t>
            </w:r>
          </w:p>
        </w:tc>
        <w:tc>
          <w:tcPr>
            <w:tcW w:w="1372"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375"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sz w:val="24"/>
                <w:szCs w:val="24"/>
              </w:rPr>
            </w:pPr>
          </w:p>
        </w:tc>
        <w:tc>
          <w:tcPr>
            <w:tcW w:w="870"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sz w:val="24"/>
                <w:szCs w:val="24"/>
              </w:rPr>
            </w:pPr>
          </w:p>
        </w:tc>
        <w:tc>
          <w:tcPr>
            <w:tcW w:w="1577"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sz w:val="24"/>
                <w:szCs w:val="24"/>
              </w:rPr>
            </w:pPr>
          </w:p>
        </w:tc>
        <w:tc>
          <w:tcPr>
            <w:tcW w:w="1260"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常规保养</w:t>
            </w:r>
          </w:p>
        </w:tc>
        <w:tc>
          <w:tcPr>
            <w:tcW w:w="1245"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二级保养</w:t>
            </w:r>
          </w:p>
        </w:tc>
        <w:tc>
          <w:tcPr>
            <w:tcW w:w="1193"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常规保养</w:t>
            </w:r>
          </w:p>
        </w:tc>
        <w:tc>
          <w:tcPr>
            <w:tcW w:w="1065"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二级保养</w:t>
            </w:r>
          </w:p>
        </w:tc>
        <w:tc>
          <w:tcPr>
            <w:tcW w:w="1372"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375"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小型轿车</w:t>
            </w:r>
          </w:p>
        </w:tc>
        <w:tc>
          <w:tcPr>
            <w:tcW w:w="870"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红旗牌</w:t>
            </w:r>
          </w:p>
        </w:tc>
        <w:tc>
          <w:tcPr>
            <w:tcW w:w="1577"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CA720AT</w:t>
            </w:r>
          </w:p>
        </w:tc>
        <w:tc>
          <w:tcPr>
            <w:tcW w:w="1260"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600</w:t>
            </w:r>
          </w:p>
        </w:tc>
        <w:tc>
          <w:tcPr>
            <w:tcW w:w="1245"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690</w:t>
            </w:r>
          </w:p>
        </w:tc>
        <w:tc>
          <w:tcPr>
            <w:tcW w:w="1193" w:type="dxa"/>
            <w:tcBorders>
              <w:tl2br w:val="nil"/>
              <w:tr2bl w:val="nil"/>
            </w:tcBorders>
            <w:noWrap w:val="0"/>
            <w:tcMar>
              <w:top w:w="10" w:type="dxa"/>
              <w:left w:w="10" w:type="dxa"/>
              <w:right w:w="10" w:type="dxa"/>
            </w:tcMar>
            <w:vAlign w:val="center"/>
          </w:tcPr>
          <w:p>
            <w:pPr>
              <w:spacing w:line="240" w:lineRule="atLeast"/>
              <w:jc w:val="center"/>
              <w:rPr>
                <w:rFonts w:hint="eastAsia" w:ascii="仿宋_GB2312" w:hAnsi="仿宋_GB2312" w:eastAsia="仿宋_GB2312" w:cs="仿宋_GB2312"/>
                <w:color w:val="000000"/>
                <w:sz w:val="24"/>
                <w:szCs w:val="24"/>
                <w:lang w:val="en-US" w:eastAsia="zh-CN"/>
              </w:rPr>
            </w:pPr>
          </w:p>
        </w:tc>
        <w:tc>
          <w:tcPr>
            <w:tcW w:w="1065" w:type="dxa"/>
            <w:tcBorders>
              <w:tl2br w:val="nil"/>
              <w:tr2bl w:val="nil"/>
            </w:tcBorders>
            <w:noWrap w:val="0"/>
            <w:tcMar>
              <w:top w:w="10" w:type="dxa"/>
              <w:left w:w="10" w:type="dxa"/>
              <w:right w:w="10" w:type="dxa"/>
            </w:tcMar>
            <w:vAlign w:val="center"/>
          </w:tcPr>
          <w:p>
            <w:pPr>
              <w:spacing w:line="240" w:lineRule="atLeast"/>
              <w:jc w:val="center"/>
              <w:rPr>
                <w:rFonts w:hint="eastAsia" w:ascii="仿宋_GB2312" w:hAnsi="仿宋_GB2312" w:eastAsia="仿宋_GB2312" w:cs="仿宋_GB2312"/>
                <w:color w:val="000000"/>
                <w:kern w:val="2"/>
                <w:sz w:val="24"/>
                <w:szCs w:val="24"/>
                <w:lang w:val="en-US" w:eastAsia="zh-CN" w:bidi="ar-SA"/>
              </w:rPr>
            </w:pPr>
          </w:p>
        </w:tc>
        <w:tc>
          <w:tcPr>
            <w:tcW w:w="1372" w:type="dxa"/>
            <w:tcBorders>
              <w:tl2br w:val="nil"/>
              <w:tr2bl w:val="nil"/>
            </w:tcBorders>
            <w:noWrap w:val="0"/>
            <w:tcMar>
              <w:top w:w="10" w:type="dxa"/>
              <w:left w:w="10" w:type="dxa"/>
              <w:right w:w="10" w:type="dxa"/>
            </w:tcMar>
            <w:vAlign w:val="center"/>
          </w:tcPr>
          <w:p>
            <w:pPr>
              <w:spacing w:line="240" w:lineRule="atLeas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川A7WJ38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jc w:val="center"/>
        </w:trPr>
        <w:tc>
          <w:tcPr>
            <w:tcW w:w="137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小型轿车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大众牌</w:t>
            </w:r>
          </w:p>
        </w:tc>
        <w:tc>
          <w:tcPr>
            <w:tcW w:w="1577"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FV7166FAMGG</w:t>
            </w:r>
          </w:p>
        </w:tc>
        <w:tc>
          <w:tcPr>
            <w:tcW w:w="126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600</w:t>
            </w:r>
          </w:p>
        </w:tc>
        <w:tc>
          <w:tcPr>
            <w:tcW w:w="124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700</w:t>
            </w:r>
          </w:p>
        </w:tc>
        <w:tc>
          <w:tcPr>
            <w:tcW w:w="1193"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65"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kern w:val="2"/>
                <w:sz w:val="24"/>
                <w:szCs w:val="24"/>
                <w:lang w:val="en-US" w:eastAsia="zh-CN" w:bidi="ar-SA"/>
              </w:rPr>
            </w:pPr>
          </w:p>
        </w:tc>
        <w:tc>
          <w:tcPr>
            <w:tcW w:w="1372"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川A3029U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37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小型轿车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大众牌</w:t>
            </w:r>
          </w:p>
        </w:tc>
        <w:tc>
          <w:tcPr>
            <w:tcW w:w="1577"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FV7167FAMGG</w:t>
            </w:r>
          </w:p>
        </w:tc>
        <w:tc>
          <w:tcPr>
            <w:tcW w:w="126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600</w:t>
            </w:r>
          </w:p>
        </w:tc>
        <w:tc>
          <w:tcPr>
            <w:tcW w:w="124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700</w:t>
            </w:r>
          </w:p>
        </w:tc>
        <w:tc>
          <w:tcPr>
            <w:tcW w:w="1193"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65"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kern w:val="2"/>
                <w:sz w:val="24"/>
                <w:szCs w:val="24"/>
                <w:lang w:val="en-US" w:eastAsia="zh-CN" w:bidi="ar-SA"/>
              </w:rPr>
            </w:pPr>
          </w:p>
        </w:tc>
        <w:tc>
          <w:tcPr>
            <w:tcW w:w="1372"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川A6523U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jc w:val="center"/>
        </w:trPr>
        <w:tc>
          <w:tcPr>
            <w:tcW w:w="1375"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小型汽车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速腾牌</w:t>
            </w:r>
          </w:p>
        </w:tc>
        <w:tc>
          <w:tcPr>
            <w:tcW w:w="1577"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FVF7166G</w:t>
            </w:r>
          </w:p>
        </w:tc>
        <w:tc>
          <w:tcPr>
            <w:tcW w:w="126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600</w:t>
            </w:r>
          </w:p>
        </w:tc>
        <w:tc>
          <w:tcPr>
            <w:tcW w:w="124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700</w:t>
            </w:r>
          </w:p>
        </w:tc>
        <w:tc>
          <w:tcPr>
            <w:tcW w:w="1193"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65"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kern w:val="2"/>
                <w:sz w:val="24"/>
                <w:szCs w:val="24"/>
                <w:lang w:val="en-US" w:eastAsia="zh-CN" w:bidi="ar-SA"/>
              </w:rPr>
            </w:pPr>
          </w:p>
        </w:tc>
        <w:tc>
          <w:tcPr>
            <w:tcW w:w="1372"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川A6523U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375"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小型汽车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朗逸牌</w:t>
            </w:r>
          </w:p>
        </w:tc>
        <w:tc>
          <w:tcPr>
            <w:tcW w:w="1577"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SVW7167NSD</w:t>
            </w:r>
          </w:p>
        </w:tc>
        <w:tc>
          <w:tcPr>
            <w:tcW w:w="126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600</w:t>
            </w:r>
          </w:p>
        </w:tc>
        <w:tc>
          <w:tcPr>
            <w:tcW w:w="124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700</w:t>
            </w:r>
          </w:p>
        </w:tc>
        <w:tc>
          <w:tcPr>
            <w:tcW w:w="1193"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65"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kern w:val="2"/>
                <w:sz w:val="24"/>
                <w:szCs w:val="24"/>
                <w:lang w:val="en-US" w:eastAsia="zh-CN" w:bidi="ar-SA"/>
              </w:rPr>
            </w:pPr>
          </w:p>
        </w:tc>
        <w:tc>
          <w:tcPr>
            <w:tcW w:w="1372"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川A9381T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375"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小型汽车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凯美瑞</w:t>
            </w:r>
          </w:p>
        </w:tc>
        <w:tc>
          <w:tcPr>
            <w:tcW w:w="1577"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GTM7200GB</w:t>
            </w:r>
          </w:p>
        </w:tc>
        <w:tc>
          <w:tcPr>
            <w:tcW w:w="126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600</w:t>
            </w:r>
          </w:p>
        </w:tc>
        <w:tc>
          <w:tcPr>
            <w:tcW w:w="124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700</w:t>
            </w:r>
          </w:p>
        </w:tc>
        <w:tc>
          <w:tcPr>
            <w:tcW w:w="1193"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65"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kern w:val="2"/>
                <w:sz w:val="24"/>
                <w:szCs w:val="24"/>
                <w:lang w:val="en-US" w:eastAsia="zh-CN" w:bidi="ar-SA"/>
              </w:rPr>
            </w:pPr>
          </w:p>
        </w:tc>
        <w:tc>
          <w:tcPr>
            <w:tcW w:w="1372"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川A7819T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137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合计</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577"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26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3600</w:t>
            </w:r>
          </w:p>
        </w:tc>
        <w:tc>
          <w:tcPr>
            <w:tcW w:w="124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4190</w:t>
            </w:r>
          </w:p>
        </w:tc>
        <w:tc>
          <w:tcPr>
            <w:tcW w:w="1193"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65"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kern w:val="2"/>
                <w:sz w:val="24"/>
                <w:szCs w:val="24"/>
                <w:lang w:val="en-US" w:eastAsia="zh-CN" w:bidi="ar-SA"/>
              </w:rPr>
            </w:pPr>
          </w:p>
        </w:tc>
        <w:tc>
          <w:tcPr>
            <w:tcW w:w="1372"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137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总计</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577"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2505" w:type="dxa"/>
            <w:gridSpan w:val="2"/>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7790</w:t>
            </w:r>
          </w:p>
        </w:tc>
        <w:tc>
          <w:tcPr>
            <w:tcW w:w="2258" w:type="dxa"/>
            <w:gridSpan w:val="2"/>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kern w:val="2"/>
                <w:sz w:val="24"/>
                <w:szCs w:val="24"/>
                <w:lang w:val="en-US" w:eastAsia="zh-CN" w:bidi="ar-SA"/>
              </w:rPr>
            </w:pPr>
          </w:p>
        </w:tc>
        <w:tc>
          <w:tcPr>
            <w:tcW w:w="1372"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r>
    </w:tbl>
    <w:p>
      <w:pPr>
        <w:pStyle w:val="10"/>
        <w:numPr>
          <w:ilvl w:val="0"/>
          <w:numId w:val="0"/>
        </w:numPr>
        <w:spacing w:line="360" w:lineRule="auto"/>
        <w:jc w:val="both"/>
        <w:rPr>
          <w:rFonts w:hint="default" w:ascii="仿宋" w:hAnsi="仿宋" w:eastAsia="仿宋" w:cs="仿宋"/>
          <w:b/>
          <w:bCs/>
          <w:sz w:val="30"/>
          <w:szCs w:val="30"/>
          <w:lang w:val="en-US" w:eastAsia="zh-CN"/>
        </w:rPr>
      </w:pPr>
    </w:p>
    <w:p>
      <w:pPr>
        <w:pStyle w:val="10"/>
        <w:numPr>
          <w:ilvl w:val="0"/>
          <w:numId w:val="0"/>
        </w:numPr>
        <w:spacing w:line="360" w:lineRule="auto"/>
        <w:jc w:val="both"/>
        <w:rPr>
          <w:rFonts w:hint="default" w:ascii="仿宋" w:hAnsi="仿宋" w:eastAsia="仿宋" w:cs="仿宋"/>
          <w:b/>
          <w:bCs/>
          <w:sz w:val="30"/>
          <w:szCs w:val="30"/>
          <w:lang w:val="en-US" w:eastAsia="zh-CN"/>
        </w:rPr>
      </w:pPr>
    </w:p>
    <w:p>
      <w:pPr>
        <w:pStyle w:val="10"/>
        <w:numPr>
          <w:ilvl w:val="0"/>
          <w:numId w:val="0"/>
        </w:numPr>
        <w:spacing w:line="360" w:lineRule="auto"/>
        <w:jc w:val="both"/>
        <w:rPr>
          <w:rFonts w:hint="default" w:ascii="仿宋" w:hAnsi="仿宋" w:eastAsia="仿宋" w:cs="仿宋"/>
          <w:b/>
          <w:bCs/>
          <w:sz w:val="30"/>
          <w:szCs w:val="30"/>
          <w:lang w:val="en-US" w:eastAsia="zh-CN"/>
        </w:rPr>
      </w:pPr>
    </w:p>
    <w:p>
      <w:pPr>
        <w:pStyle w:val="10"/>
        <w:numPr>
          <w:ilvl w:val="0"/>
          <w:numId w:val="0"/>
        </w:numPr>
        <w:spacing w:line="360" w:lineRule="auto"/>
        <w:jc w:val="both"/>
        <w:rPr>
          <w:rFonts w:hint="default" w:ascii="仿宋" w:hAnsi="仿宋" w:eastAsia="仿宋" w:cs="仿宋"/>
          <w:b/>
          <w:bCs/>
          <w:sz w:val="30"/>
          <w:szCs w:val="30"/>
          <w:lang w:val="en-US" w:eastAsia="zh-CN"/>
        </w:rPr>
      </w:pPr>
    </w:p>
    <w:p>
      <w:pPr>
        <w:pStyle w:val="10"/>
        <w:numPr>
          <w:ilvl w:val="0"/>
          <w:numId w:val="0"/>
        </w:numPr>
        <w:spacing w:line="360" w:lineRule="auto"/>
        <w:jc w:val="both"/>
        <w:rPr>
          <w:rFonts w:hint="default" w:ascii="仿宋" w:hAnsi="仿宋" w:eastAsia="仿宋" w:cs="仿宋"/>
          <w:b/>
          <w:bCs/>
          <w:sz w:val="30"/>
          <w:szCs w:val="30"/>
          <w:lang w:val="en-US" w:eastAsia="zh-CN"/>
        </w:rPr>
      </w:pPr>
    </w:p>
    <w:p>
      <w:pPr>
        <w:pStyle w:val="10"/>
        <w:numPr>
          <w:ilvl w:val="0"/>
          <w:numId w:val="0"/>
        </w:numPr>
        <w:spacing w:line="360" w:lineRule="auto"/>
        <w:jc w:val="both"/>
        <w:rPr>
          <w:rFonts w:hint="default" w:ascii="仿宋" w:hAnsi="仿宋" w:eastAsia="仿宋" w:cs="仿宋"/>
          <w:b/>
          <w:bCs/>
          <w:sz w:val="30"/>
          <w:szCs w:val="30"/>
          <w:lang w:val="en-US" w:eastAsia="zh-CN"/>
        </w:rPr>
      </w:pPr>
    </w:p>
    <w:p>
      <w:pPr>
        <w:pStyle w:val="10"/>
        <w:numPr>
          <w:ilvl w:val="0"/>
          <w:numId w:val="0"/>
        </w:numPr>
        <w:spacing w:line="360" w:lineRule="auto"/>
        <w:jc w:val="both"/>
        <w:rPr>
          <w:rFonts w:hint="default" w:ascii="仿宋" w:hAnsi="仿宋" w:eastAsia="仿宋" w:cs="仿宋"/>
          <w:b/>
          <w:bCs/>
          <w:sz w:val="30"/>
          <w:szCs w:val="30"/>
          <w:lang w:val="en-US" w:eastAsia="zh-CN"/>
        </w:rPr>
      </w:pPr>
    </w:p>
    <w:p>
      <w:pPr>
        <w:pStyle w:val="10"/>
        <w:numPr>
          <w:ilvl w:val="0"/>
          <w:numId w:val="0"/>
        </w:numPr>
        <w:spacing w:line="360" w:lineRule="auto"/>
        <w:jc w:val="both"/>
        <w:rPr>
          <w:rFonts w:hint="default" w:ascii="仿宋" w:hAnsi="仿宋" w:eastAsia="仿宋" w:cs="仿宋"/>
          <w:b/>
          <w:bCs/>
          <w:sz w:val="30"/>
          <w:szCs w:val="30"/>
          <w:lang w:val="en-US" w:eastAsia="zh-CN"/>
        </w:rPr>
      </w:pPr>
    </w:p>
    <w:p>
      <w:pPr>
        <w:pStyle w:val="10"/>
        <w:numPr>
          <w:ilvl w:val="0"/>
          <w:numId w:val="0"/>
        </w:numPr>
        <w:spacing w:line="360" w:lineRule="auto"/>
        <w:jc w:val="both"/>
        <w:rPr>
          <w:rFonts w:hint="default" w:ascii="仿宋" w:hAnsi="仿宋" w:eastAsia="仿宋" w:cs="仿宋"/>
          <w:b/>
          <w:bCs/>
          <w:sz w:val="30"/>
          <w:szCs w:val="30"/>
          <w:lang w:val="en-US" w:eastAsia="zh-CN"/>
        </w:rPr>
      </w:pPr>
    </w:p>
    <w:p>
      <w:pPr>
        <w:pStyle w:val="10"/>
        <w:numPr>
          <w:ilvl w:val="0"/>
          <w:numId w:val="0"/>
        </w:numPr>
        <w:spacing w:line="360" w:lineRule="auto"/>
        <w:jc w:val="both"/>
        <w:rPr>
          <w:rFonts w:hint="default" w:ascii="仿宋" w:hAnsi="仿宋" w:eastAsia="仿宋" w:cs="仿宋"/>
          <w:b/>
          <w:bCs/>
          <w:sz w:val="30"/>
          <w:szCs w:val="30"/>
          <w:lang w:val="en-US" w:eastAsia="zh-CN"/>
        </w:rPr>
      </w:pPr>
    </w:p>
    <w:p>
      <w:pPr>
        <w:pStyle w:val="10"/>
        <w:numPr>
          <w:ilvl w:val="0"/>
          <w:numId w:val="0"/>
        </w:numPr>
        <w:spacing w:line="360" w:lineRule="auto"/>
        <w:jc w:val="both"/>
        <w:rPr>
          <w:rFonts w:hint="default" w:ascii="仿宋" w:hAnsi="仿宋" w:eastAsia="仿宋" w:cs="仿宋"/>
          <w:b/>
          <w:bCs/>
          <w:sz w:val="30"/>
          <w:szCs w:val="30"/>
          <w:lang w:val="en-US" w:eastAsia="zh-CN"/>
        </w:rPr>
      </w:pPr>
    </w:p>
    <w:p>
      <w:pPr>
        <w:pStyle w:val="10"/>
        <w:numPr>
          <w:ilvl w:val="0"/>
          <w:numId w:val="0"/>
        </w:numPr>
        <w:spacing w:line="360" w:lineRule="auto"/>
        <w:jc w:val="both"/>
        <w:rPr>
          <w:rFonts w:hint="default" w:ascii="仿宋" w:hAnsi="仿宋" w:eastAsia="仿宋" w:cs="仿宋"/>
          <w:b/>
          <w:bCs/>
          <w:sz w:val="30"/>
          <w:szCs w:val="30"/>
          <w:lang w:val="en-US" w:eastAsia="zh-CN"/>
        </w:rPr>
      </w:pPr>
    </w:p>
    <w:p>
      <w:pPr>
        <w:pStyle w:val="61"/>
        <w:snapToGrid w:val="0"/>
        <w:spacing w:after="120" w:afterLines="50" w:line="360" w:lineRule="exact"/>
        <w:ind w:firstLine="480"/>
        <w:rPr>
          <w:rFonts w:hint="eastAsia" w:ascii="仿宋" w:hAnsi="仿宋" w:eastAsia="仿宋" w:cs="仿宋"/>
          <w:b/>
          <w:bCs/>
          <w:lang w:val="en-US" w:eastAsia="zh-CN"/>
        </w:rPr>
      </w:pPr>
    </w:p>
    <w:p>
      <w:pPr>
        <w:pStyle w:val="10"/>
        <w:numPr>
          <w:ilvl w:val="0"/>
          <w:numId w:val="0"/>
        </w:numPr>
        <w:spacing w:line="360" w:lineRule="auto"/>
        <w:jc w:val="both"/>
        <w:rPr>
          <w:rFonts w:hint="default" w:ascii="仿宋" w:hAnsi="仿宋" w:eastAsia="仿宋" w:cs="仿宋"/>
          <w:b/>
          <w:bCs/>
          <w:sz w:val="30"/>
          <w:szCs w:val="30"/>
          <w:lang w:val="en-US" w:eastAsia="zh-CN"/>
        </w:rPr>
      </w:pPr>
    </w:p>
    <w:p>
      <w:pPr>
        <w:pStyle w:val="61"/>
        <w:snapToGrid w:val="0"/>
        <w:spacing w:after="120" w:afterLines="50" w:line="360" w:lineRule="exact"/>
        <w:ind w:firstLine="48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标段2：成都处龙泉片区车辆定点维修</w:t>
      </w:r>
    </w:p>
    <w:tbl>
      <w:tblPr>
        <w:tblStyle w:val="20"/>
        <w:tblpPr w:leftFromText="180" w:rightFromText="180" w:vertAnchor="text" w:horzAnchor="page" w:tblpXSpec="center" w:tblpY="473"/>
        <w:tblOverlap w:val="never"/>
        <w:tblW w:w="99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1"/>
        <w:gridCol w:w="870"/>
        <w:gridCol w:w="1829"/>
        <w:gridCol w:w="1290"/>
        <w:gridCol w:w="1001"/>
        <w:gridCol w:w="990"/>
        <w:gridCol w:w="1020"/>
        <w:gridCol w:w="1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751"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设备名称</w:t>
            </w:r>
          </w:p>
        </w:tc>
        <w:tc>
          <w:tcPr>
            <w:tcW w:w="870"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品牌</w:t>
            </w:r>
          </w:p>
        </w:tc>
        <w:tc>
          <w:tcPr>
            <w:tcW w:w="1829"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型号</w:t>
            </w:r>
          </w:p>
        </w:tc>
        <w:tc>
          <w:tcPr>
            <w:tcW w:w="2291" w:type="dxa"/>
            <w:gridSpan w:val="2"/>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业主估算价（元）</w:t>
            </w:r>
          </w:p>
        </w:tc>
        <w:tc>
          <w:tcPr>
            <w:tcW w:w="2010" w:type="dxa"/>
            <w:gridSpan w:val="2"/>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投标人报价（元）</w:t>
            </w:r>
          </w:p>
        </w:tc>
        <w:tc>
          <w:tcPr>
            <w:tcW w:w="1208"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51"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sz w:val="24"/>
                <w:szCs w:val="24"/>
              </w:rPr>
            </w:pPr>
          </w:p>
        </w:tc>
        <w:tc>
          <w:tcPr>
            <w:tcW w:w="870"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sz w:val="24"/>
                <w:szCs w:val="24"/>
              </w:rPr>
            </w:pPr>
          </w:p>
        </w:tc>
        <w:tc>
          <w:tcPr>
            <w:tcW w:w="1829"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sz w:val="24"/>
                <w:szCs w:val="24"/>
              </w:rPr>
            </w:pPr>
          </w:p>
        </w:tc>
        <w:tc>
          <w:tcPr>
            <w:tcW w:w="1290"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常规保养</w:t>
            </w:r>
          </w:p>
        </w:tc>
        <w:tc>
          <w:tcPr>
            <w:tcW w:w="1001"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二级保养</w:t>
            </w:r>
          </w:p>
        </w:tc>
        <w:tc>
          <w:tcPr>
            <w:tcW w:w="990"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常规保养</w:t>
            </w:r>
          </w:p>
        </w:tc>
        <w:tc>
          <w:tcPr>
            <w:tcW w:w="1020"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二级保养</w:t>
            </w:r>
          </w:p>
        </w:tc>
        <w:tc>
          <w:tcPr>
            <w:tcW w:w="1208"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大型普通客车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柯斯达</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SCT6703TRB53L</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710</w:t>
            </w:r>
          </w:p>
        </w:tc>
        <w:tc>
          <w:tcPr>
            <w:tcW w:w="100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1100</w:t>
            </w:r>
          </w:p>
        </w:tc>
        <w:tc>
          <w:tcPr>
            <w:tcW w:w="9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2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08"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川A3936Q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大型普通客车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柯斯达</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SCT6703TRB53L</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710</w:t>
            </w:r>
          </w:p>
        </w:tc>
        <w:tc>
          <w:tcPr>
            <w:tcW w:w="100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1100</w:t>
            </w:r>
          </w:p>
        </w:tc>
        <w:tc>
          <w:tcPr>
            <w:tcW w:w="9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2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08"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川A3923Q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大型普通客车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柯斯达</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SCT6703TRB53L</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710</w:t>
            </w:r>
          </w:p>
        </w:tc>
        <w:tc>
          <w:tcPr>
            <w:tcW w:w="100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1100</w:t>
            </w:r>
          </w:p>
        </w:tc>
        <w:tc>
          <w:tcPr>
            <w:tcW w:w="9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2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08"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川A5203Q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中型普通客车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金杯</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SY6548MS3BH</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610</w:t>
            </w:r>
          </w:p>
        </w:tc>
        <w:tc>
          <w:tcPr>
            <w:tcW w:w="100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1000</w:t>
            </w:r>
          </w:p>
        </w:tc>
        <w:tc>
          <w:tcPr>
            <w:tcW w:w="9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2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08"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川A5881Q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中型普通客车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金杯阁瑞斯</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SY6521G2S3BG</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680</w:t>
            </w:r>
          </w:p>
        </w:tc>
        <w:tc>
          <w:tcPr>
            <w:tcW w:w="100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1080</w:t>
            </w:r>
          </w:p>
        </w:tc>
        <w:tc>
          <w:tcPr>
            <w:tcW w:w="9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2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08"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川A5373Q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轻型普通货车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尼桑牌</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ZN1033U2G4</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380</w:t>
            </w:r>
          </w:p>
        </w:tc>
        <w:tc>
          <w:tcPr>
            <w:tcW w:w="100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710</w:t>
            </w:r>
          </w:p>
        </w:tc>
        <w:tc>
          <w:tcPr>
            <w:tcW w:w="9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2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08"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川A3630T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轻型普通货车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江西五十铃牌</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JXW1030AS</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480</w:t>
            </w:r>
          </w:p>
        </w:tc>
        <w:tc>
          <w:tcPr>
            <w:tcW w:w="100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890</w:t>
            </w:r>
          </w:p>
        </w:tc>
        <w:tc>
          <w:tcPr>
            <w:tcW w:w="9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2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08"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川A1G82X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轻型普通货车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尼桑牌</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ZN6494H2G4</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380</w:t>
            </w:r>
          </w:p>
        </w:tc>
        <w:tc>
          <w:tcPr>
            <w:tcW w:w="100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710</w:t>
            </w:r>
          </w:p>
        </w:tc>
        <w:tc>
          <w:tcPr>
            <w:tcW w:w="9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2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08"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川A3081U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轻型普通货车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尼桑牌</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ZN1032U2G3</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380</w:t>
            </w:r>
          </w:p>
        </w:tc>
        <w:tc>
          <w:tcPr>
            <w:tcW w:w="100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710</w:t>
            </w:r>
          </w:p>
        </w:tc>
        <w:tc>
          <w:tcPr>
            <w:tcW w:w="9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2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08"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川A9860T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重型专项作业车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中联</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ZLJ5320JQ225V</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780</w:t>
            </w:r>
          </w:p>
        </w:tc>
        <w:tc>
          <w:tcPr>
            <w:tcW w:w="100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1320</w:t>
            </w:r>
          </w:p>
        </w:tc>
        <w:tc>
          <w:tcPr>
            <w:tcW w:w="9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2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08"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川A5956Q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重型专项作业车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粤海</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YH5500TQZ15D2</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800</w:t>
            </w:r>
          </w:p>
        </w:tc>
        <w:tc>
          <w:tcPr>
            <w:tcW w:w="100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1320</w:t>
            </w:r>
          </w:p>
        </w:tc>
        <w:tc>
          <w:tcPr>
            <w:tcW w:w="9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2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08"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川A0573Q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重型专项作业车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粤海</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YH5258TQZ19T</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780</w:t>
            </w:r>
          </w:p>
        </w:tc>
        <w:tc>
          <w:tcPr>
            <w:tcW w:w="100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1320</w:t>
            </w:r>
          </w:p>
        </w:tc>
        <w:tc>
          <w:tcPr>
            <w:tcW w:w="9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2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08"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川A6026Q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中型专业作业车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粤海</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YH5100TQZ02P</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500</w:t>
            </w:r>
          </w:p>
        </w:tc>
        <w:tc>
          <w:tcPr>
            <w:tcW w:w="100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910</w:t>
            </w:r>
          </w:p>
        </w:tc>
        <w:tc>
          <w:tcPr>
            <w:tcW w:w="9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2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08"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川A5161Q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轻型普通货车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江西五十铃牌</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JXW1031BSB0</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480</w:t>
            </w:r>
          </w:p>
        </w:tc>
        <w:tc>
          <w:tcPr>
            <w:tcW w:w="100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900</w:t>
            </w:r>
          </w:p>
        </w:tc>
        <w:tc>
          <w:tcPr>
            <w:tcW w:w="9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2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08"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川A4F6L3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中型专业作业车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粤海</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YH5100TQZ25P</w:t>
            </w: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500</w:t>
            </w:r>
          </w:p>
        </w:tc>
        <w:tc>
          <w:tcPr>
            <w:tcW w:w="100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910</w:t>
            </w:r>
          </w:p>
        </w:tc>
        <w:tc>
          <w:tcPr>
            <w:tcW w:w="9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2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08"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川ABB302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合计</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29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8880</w:t>
            </w:r>
          </w:p>
        </w:tc>
        <w:tc>
          <w:tcPr>
            <w:tcW w:w="100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15080</w:t>
            </w:r>
          </w:p>
        </w:tc>
        <w:tc>
          <w:tcPr>
            <w:tcW w:w="9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02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08"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总计</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2291" w:type="dxa"/>
            <w:gridSpan w:val="2"/>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23960</w:t>
            </w:r>
          </w:p>
        </w:tc>
        <w:tc>
          <w:tcPr>
            <w:tcW w:w="2010" w:type="dxa"/>
            <w:gridSpan w:val="2"/>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08"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r>
    </w:tbl>
    <w:p>
      <w:pPr>
        <w:pStyle w:val="10"/>
        <w:numPr>
          <w:ilvl w:val="0"/>
          <w:numId w:val="0"/>
        </w:numPr>
        <w:spacing w:line="360" w:lineRule="auto"/>
        <w:jc w:val="both"/>
        <w:rPr>
          <w:rFonts w:hint="default" w:ascii="仿宋" w:hAnsi="仿宋" w:eastAsia="仿宋" w:cs="仿宋"/>
          <w:b/>
          <w:bCs/>
          <w:sz w:val="30"/>
          <w:szCs w:val="30"/>
          <w:lang w:val="en-US" w:eastAsia="zh-CN"/>
        </w:rPr>
      </w:pPr>
    </w:p>
    <w:bookmarkEnd w:id="43"/>
    <w:p>
      <w:pPr>
        <w:pStyle w:val="53"/>
        <w:snapToGrid w:val="0"/>
        <w:ind w:firstLine="0" w:firstLineChars="0"/>
        <w:jc w:val="center"/>
        <w:rPr>
          <w:rFonts w:hint="eastAsia" w:ascii="仿宋" w:hAnsi="仿宋" w:eastAsia="仿宋" w:cs="仿宋"/>
          <w:b/>
          <w:sz w:val="30"/>
          <w:szCs w:val="30"/>
          <w:lang w:val="en-US" w:eastAsia="zh-CN"/>
        </w:rPr>
      </w:pPr>
      <w:bookmarkStart w:id="44" w:name="_Toc217446087"/>
    </w:p>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lang w:val="en-US" w:eastAsia="zh-CN"/>
        </w:rPr>
      </w:pPr>
    </w:p>
    <w:p>
      <w:pPr>
        <w:pStyle w:val="61"/>
        <w:snapToGrid w:val="0"/>
        <w:spacing w:after="120" w:afterLines="50" w:line="360" w:lineRule="exact"/>
        <w:rPr>
          <w:rFonts w:hint="default" w:ascii="仿宋" w:hAnsi="仿宋" w:eastAsia="仿宋" w:cs="仿宋"/>
          <w:sz w:val="30"/>
          <w:szCs w:val="30"/>
          <w:lang w:val="en-US" w:eastAsia="zh-CN"/>
        </w:rPr>
      </w:pPr>
      <w:r>
        <w:rPr>
          <w:rFonts w:hint="eastAsia" w:ascii="仿宋" w:hAnsi="仿宋" w:eastAsia="仿宋" w:cs="仿宋"/>
          <w:b/>
          <w:bCs/>
          <w:sz w:val="30"/>
          <w:szCs w:val="30"/>
          <w:lang w:val="en-US" w:eastAsia="zh-CN"/>
        </w:rPr>
        <w:t>标段3：成都处简阳片区车辆定点维修</w:t>
      </w:r>
    </w:p>
    <w:tbl>
      <w:tblPr>
        <w:tblStyle w:val="20"/>
        <w:tblpPr w:leftFromText="180" w:rightFromText="180" w:vertAnchor="text" w:horzAnchor="page" w:tblpXSpec="center" w:tblpY="473"/>
        <w:tblOverlap w:val="never"/>
        <w:tblW w:w="107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1"/>
        <w:gridCol w:w="870"/>
        <w:gridCol w:w="1829"/>
        <w:gridCol w:w="1165"/>
        <w:gridCol w:w="1065"/>
        <w:gridCol w:w="1290"/>
        <w:gridCol w:w="1290"/>
        <w:gridCol w:w="1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51"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设备名称</w:t>
            </w:r>
          </w:p>
        </w:tc>
        <w:tc>
          <w:tcPr>
            <w:tcW w:w="870"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品牌</w:t>
            </w:r>
          </w:p>
        </w:tc>
        <w:tc>
          <w:tcPr>
            <w:tcW w:w="1829"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型号</w:t>
            </w:r>
          </w:p>
        </w:tc>
        <w:tc>
          <w:tcPr>
            <w:tcW w:w="2230" w:type="dxa"/>
            <w:gridSpan w:val="2"/>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业主估算价（元）</w:t>
            </w:r>
          </w:p>
        </w:tc>
        <w:tc>
          <w:tcPr>
            <w:tcW w:w="2580" w:type="dxa"/>
            <w:gridSpan w:val="2"/>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投标人报价（元）</w:t>
            </w:r>
          </w:p>
        </w:tc>
        <w:tc>
          <w:tcPr>
            <w:tcW w:w="1502" w:type="dxa"/>
            <w:vMerge w:val="restart"/>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51"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sz w:val="24"/>
                <w:szCs w:val="24"/>
              </w:rPr>
            </w:pPr>
          </w:p>
        </w:tc>
        <w:tc>
          <w:tcPr>
            <w:tcW w:w="870"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sz w:val="24"/>
                <w:szCs w:val="24"/>
              </w:rPr>
            </w:pPr>
          </w:p>
        </w:tc>
        <w:tc>
          <w:tcPr>
            <w:tcW w:w="1829"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sz w:val="24"/>
                <w:szCs w:val="24"/>
              </w:rPr>
            </w:pPr>
          </w:p>
        </w:tc>
        <w:tc>
          <w:tcPr>
            <w:tcW w:w="1165"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常规保养</w:t>
            </w:r>
          </w:p>
        </w:tc>
        <w:tc>
          <w:tcPr>
            <w:tcW w:w="1065"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二级保养</w:t>
            </w:r>
          </w:p>
        </w:tc>
        <w:tc>
          <w:tcPr>
            <w:tcW w:w="1290"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常规保养</w:t>
            </w:r>
          </w:p>
        </w:tc>
        <w:tc>
          <w:tcPr>
            <w:tcW w:w="1290"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二级保养</w:t>
            </w:r>
          </w:p>
        </w:tc>
        <w:tc>
          <w:tcPr>
            <w:tcW w:w="1502" w:type="dxa"/>
            <w:vMerge w:val="continue"/>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eastAsia" w:ascii="仿宋_GB2312" w:hAnsi="仿宋_GB2312" w:eastAsia="仿宋_GB2312" w:cs="仿宋_GB2312"/>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轻型普通货车</w:t>
            </w:r>
          </w:p>
        </w:tc>
        <w:tc>
          <w:tcPr>
            <w:tcW w:w="870"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尼桑</w:t>
            </w:r>
          </w:p>
        </w:tc>
        <w:tc>
          <w:tcPr>
            <w:tcW w:w="1829"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ZN1033U2G4</w:t>
            </w:r>
          </w:p>
        </w:tc>
        <w:tc>
          <w:tcPr>
            <w:tcW w:w="1165"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520</w:t>
            </w:r>
          </w:p>
        </w:tc>
        <w:tc>
          <w:tcPr>
            <w:tcW w:w="1065" w:type="dxa"/>
            <w:tcBorders>
              <w:tl2br w:val="nil"/>
              <w:tr2bl w:val="nil"/>
            </w:tcBorders>
            <w:noWrap w:val="0"/>
            <w:tcMar>
              <w:top w:w="10" w:type="dxa"/>
              <w:left w:w="10" w:type="dxa"/>
              <w:right w:w="10" w:type="dxa"/>
            </w:tcMar>
            <w:vAlign w:val="center"/>
          </w:tcPr>
          <w:p>
            <w:pPr>
              <w:widowControl/>
              <w:spacing w:line="240" w:lineRule="atLeas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1320</w:t>
            </w:r>
          </w:p>
        </w:tc>
        <w:tc>
          <w:tcPr>
            <w:tcW w:w="1290" w:type="dxa"/>
            <w:tcBorders>
              <w:tl2br w:val="nil"/>
              <w:tr2bl w:val="nil"/>
            </w:tcBorders>
            <w:noWrap w:val="0"/>
            <w:tcMar>
              <w:top w:w="10" w:type="dxa"/>
              <w:left w:w="10" w:type="dxa"/>
              <w:right w:w="10" w:type="dxa"/>
            </w:tcMar>
            <w:vAlign w:val="center"/>
          </w:tcPr>
          <w:p>
            <w:pPr>
              <w:spacing w:line="240" w:lineRule="atLeast"/>
              <w:jc w:val="center"/>
              <w:rPr>
                <w:rFonts w:hint="eastAsia" w:ascii="仿宋_GB2312" w:hAnsi="仿宋_GB2312" w:eastAsia="仿宋_GB2312" w:cs="仿宋_GB2312"/>
                <w:color w:val="000000"/>
                <w:sz w:val="24"/>
                <w:szCs w:val="24"/>
                <w:lang w:val="en-US" w:eastAsia="zh-CN"/>
              </w:rPr>
            </w:pPr>
          </w:p>
        </w:tc>
        <w:tc>
          <w:tcPr>
            <w:tcW w:w="1290" w:type="dxa"/>
            <w:tcBorders>
              <w:tl2br w:val="nil"/>
              <w:tr2bl w:val="nil"/>
            </w:tcBorders>
            <w:noWrap w:val="0"/>
            <w:tcMar>
              <w:top w:w="10" w:type="dxa"/>
              <w:left w:w="10" w:type="dxa"/>
              <w:right w:w="10" w:type="dxa"/>
            </w:tcMar>
            <w:vAlign w:val="center"/>
          </w:tcPr>
          <w:p>
            <w:pPr>
              <w:spacing w:line="240" w:lineRule="atLeast"/>
              <w:jc w:val="center"/>
              <w:rPr>
                <w:rFonts w:hint="eastAsia" w:ascii="仿宋_GB2312" w:hAnsi="仿宋_GB2312" w:eastAsia="仿宋_GB2312" w:cs="仿宋_GB2312"/>
                <w:color w:val="000000"/>
                <w:sz w:val="24"/>
                <w:szCs w:val="24"/>
                <w:lang w:val="en-US" w:eastAsia="zh-CN"/>
              </w:rPr>
            </w:pPr>
          </w:p>
        </w:tc>
        <w:tc>
          <w:tcPr>
            <w:tcW w:w="1502" w:type="dxa"/>
            <w:tcBorders>
              <w:tl2br w:val="nil"/>
              <w:tr2bl w:val="nil"/>
            </w:tcBorders>
            <w:noWrap w:val="0"/>
            <w:tcMar>
              <w:top w:w="10" w:type="dxa"/>
              <w:left w:w="10" w:type="dxa"/>
              <w:right w:w="10" w:type="dxa"/>
            </w:tcMar>
            <w:vAlign w:val="center"/>
          </w:tcPr>
          <w:p>
            <w:pPr>
              <w:spacing w:line="240" w:lineRule="atLeas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川A3605T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both"/>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重型专项作业车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粤海</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YH5441IQZ155DZ</w:t>
            </w:r>
          </w:p>
        </w:tc>
        <w:tc>
          <w:tcPr>
            <w:tcW w:w="116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1000</w:t>
            </w:r>
          </w:p>
        </w:tc>
        <w:tc>
          <w:tcPr>
            <w:tcW w:w="106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2400</w:t>
            </w:r>
          </w:p>
        </w:tc>
        <w:tc>
          <w:tcPr>
            <w:tcW w:w="12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502"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川ABL569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中型专业作业车</w:t>
            </w:r>
          </w:p>
        </w:tc>
        <w:tc>
          <w:tcPr>
            <w:tcW w:w="870" w:type="dxa"/>
            <w:tcBorders>
              <w:tl2br w:val="nil"/>
              <w:tr2bl w:val="nil"/>
            </w:tcBorders>
            <w:noWrap w:val="0"/>
            <w:tcMar>
              <w:top w:w="10" w:type="dxa"/>
              <w:left w:w="10" w:type="dxa"/>
              <w:right w:w="10" w:type="dxa"/>
            </w:tcMar>
            <w:vAlign w:val="center"/>
          </w:tcPr>
          <w:p>
            <w:pPr>
              <w:widowControl/>
              <w:jc w:val="both"/>
              <w:textAlignment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 xml:space="preserve"> 粤海</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YH5100TQZ02P</w:t>
            </w:r>
          </w:p>
        </w:tc>
        <w:tc>
          <w:tcPr>
            <w:tcW w:w="116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1210</w:t>
            </w:r>
          </w:p>
        </w:tc>
        <w:tc>
          <w:tcPr>
            <w:tcW w:w="106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2210</w:t>
            </w:r>
          </w:p>
        </w:tc>
        <w:tc>
          <w:tcPr>
            <w:tcW w:w="12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502"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川A5203Q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柯斯达客车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柯斯达</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SCT6702TRB53L</w:t>
            </w:r>
          </w:p>
        </w:tc>
        <w:tc>
          <w:tcPr>
            <w:tcW w:w="116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1210</w:t>
            </w:r>
          </w:p>
        </w:tc>
        <w:tc>
          <w:tcPr>
            <w:tcW w:w="106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1810</w:t>
            </w:r>
          </w:p>
        </w:tc>
        <w:tc>
          <w:tcPr>
            <w:tcW w:w="12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502"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川A1276Q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轻型普通货车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五十铃</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JXW1031BSBO</w:t>
            </w:r>
          </w:p>
        </w:tc>
        <w:tc>
          <w:tcPr>
            <w:tcW w:w="116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650</w:t>
            </w:r>
          </w:p>
        </w:tc>
        <w:tc>
          <w:tcPr>
            <w:tcW w:w="106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1310</w:t>
            </w:r>
          </w:p>
        </w:tc>
        <w:tc>
          <w:tcPr>
            <w:tcW w:w="12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502"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川A54Q2M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轻型普通货车</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五十铃</w:t>
            </w: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JXW1030AS</w:t>
            </w:r>
          </w:p>
        </w:tc>
        <w:tc>
          <w:tcPr>
            <w:tcW w:w="116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650</w:t>
            </w:r>
          </w:p>
        </w:tc>
        <w:tc>
          <w:tcPr>
            <w:tcW w:w="106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1310</w:t>
            </w:r>
          </w:p>
        </w:tc>
        <w:tc>
          <w:tcPr>
            <w:tcW w:w="12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502" w:type="dxa"/>
            <w:tcBorders>
              <w:tl2br w:val="nil"/>
              <w:tr2bl w:val="nil"/>
            </w:tcBorders>
            <w:noWrap w:val="0"/>
            <w:tcMar>
              <w:top w:w="10" w:type="dxa"/>
              <w:left w:w="10" w:type="dxa"/>
              <w:right w:w="10" w:type="dxa"/>
            </w:tcMar>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川A7M25D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合计</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16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5240</w:t>
            </w:r>
          </w:p>
        </w:tc>
        <w:tc>
          <w:tcPr>
            <w:tcW w:w="1065"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10360</w:t>
            </w:r>
          </w:p>
        </w:tc>
        <w:tc>
          <w:tcPr>
            <w:tcW w:w="12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290"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502"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751" w:type="dxa"/>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总计</w:t>
            </w:r>
          </w:p>
        </w:tc>
        <w:tc>
          <w:tcPr>
            <w:tcW w:w="870"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829" w:type="dxa"/>
            <w:tcBorders>
              <w:tl2br w:val="nil"/>
              <w:tr2bl w:val="nil"/>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2230" w:type="dxa"/>
            <w:gridSpan w:val="2"/>
            <w:tcBorders>
              <w:tl2br w:val="nil"/>
              <w:tr2bl w:val="nil"/>
            </w:tcBorders>
            <w:noWrap w:val="0"/>
            <w:tcMar>
              <w:top w:w="10" w:type="dxa"/>
              <w:left w:w="10" w:type="dxa"/>
              <w:right w:w="10" w:type="dxa"/>
            </w:tcMar>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15600</w:t>
            </w:r>
          </w:p>
        </w:tc>
        <w:tc>
          <w:tcPr>
            <w:tcW w:w="2580" w:type="dxa"/>
            <w:gridSpan w:val="2"/>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c>
          <w:tcPr>
            <w:tcW w:w="1502" w:type="dxa"/>
            <w:tcBorders>
              <w:tl2br w:val="nil"/>
              <w:tr2bl w:val="nil"/>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szCs w:val="24"/>
                <w:lang w:val="en-US" w:eastAsia="zh-CN"/>
              </w:rPr>
            </w:pPr>
          </w:p>
        </w:tc>
      </w:tr>
    </w:tbl>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lang w:val="en-US" w:eastAsia="zh-CN"/>
        </w:rPr>
      </w:pPr>
    </w:p>
    <w:p>
      <w:pPr>
        <w:pStyle w:val="53"/>
        <w:snapToGrid w:val="0"/>
        <w:ind w:firstLine="0" w:firstLineChars="0"/>
        <w:jc w:val="center"/>
        <w:rPr>
          <w:rFonts w:hint="eastAsia" w:ascii="仿宋" w:hAnsi="仿宋" w:eastAsia="仿宋" w:cs="仿宋"/>
          <w:b/>
          <w:sz w:val="30"/>
          <w:szCs w:val="30"/>
        </w:rPr>
      </w:pPr>
      <w:r>
        <w:rPr>
          <w:rFonts w:hint="eastAsia" w:ascii="仿宋" w:hAnsi="仿宋" w:eastAsia="仿宋" w:cs="仿宋"/>
          <w:b/>
          <w:sz w:val="30"/>
          <w:szCs w:val="30"/>
          <w:lang w:val="en-US" w:eastAsia="zh-CN"/>
        </w:rPr>
        <w:t>四</w:t>
      </w:r>
      <w:r>
        <w:rPr>
          <w:rFonts w:hint="eastAsia" w:ascii="仿宋" w:hAnsi="仿宋" w:eastAsia="仿宋" w:cs="仿宋"/>
          <w:b/>
          <w:sz w:val="30"/>
          <w:szCs w:val="30"/>
        </w:rPr>
        <w:t>、商务应答表</w:t>
      </w:r>
      <w:bookmarkEnd w:id="44"/>
    </w:p>
    <w:p>
      <w:pPr>
        <w:widowControl/>
        <w:spacing w:line="360" w:lineRule="atLeast"/>
        <w:jc w:val="left"/>
        <w:outlineLvl w:val="1"/>
        <w:rPr>
          <w:rFonts w:hint="eastAsia" w:ascii="仿宋" w:hAnsi="仿宋" w:eastAsia="仿宋" w:cs="仿宋"/>
          <w:sz w:val="24"/>
        </w:rPr>
      </w:pPr>
      <w:bookmarkStart w:id="45" w:name="_Toc477957458"/>
      <w:bookmarkStart w:id="46" w:name="_Toc477957308"/>
      <w:bookmarkStart w:id="47" w:name="_Toc469324559"/>
      <w:r>
        <w:rPr>
          <w:rFonts w:hint="eastAsia" w:ascii="仿宋" w:hAnsi="仿宋" w:eastAsia="仿宋" w:cs="仿宋"/>
          <w:sz w:val="24"/>
        </w:rPr>
        <w:t>项目名称：</w:t>
      </w:r>
      <w:bookmarkEnd w:id="45"/>
      <w:bookmarkEnd w:id="46"/>
      <w:bookmarkEnd w:id="47"/>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886"/>
        <w:gridCol w:w="3624"/>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55" w:type="dxa"/>
            <w:vAlign w:val="center"/>
          </w:tcPr>
          <w:p>
            <w:pPr>
              <w:widowControl/>
              <w:snapToGrid w:val="0"/>
              <w:jc w:val="center"/>
              <w:outlineLvl w:val="1"/>
              <w:rPr>
                <w:rFonts w:hint="eastAsia" w:ascii="仿宋" w:hAnsi="仿宋" w:eastAsia="仿宋" w:cs="仿宋"/>
                <w:szCs w:val="21"/>
              </w:rPr>
            </w:pPr>
            <w:bookmarkStart w:id="48" w:name="_Toc469324560"/>
            <w:bookmarkStart w:id="49" w:name="_Toc477957309"/>
            <w:bookmarkStart w:id="50" w:name="_Toc477957459"/>
            <w:r>
              <w:rPr>
                <w:rFonts w:hint="eastAsia" w:ascii="仿宋" w:hAnsi="仿宋" w:eastAsia="仿宋" w:cs="仿宋"/>
                <w:szCs w:val="21"/>
              </w:rPr>
              <w:t>序号</w:t>
            </w:r>
            <w:bookmarkEnd w:id="48"/>
            <w:bookmarkEnd w:id="49"/>
            <w:bookmarkEnd w:id="50"/>
          </w:p>
        </w:tc>
        <w:tc>
          <w:tcPr>
            <w:tcW w:w="2886" w:type="dxa"/>
            <w:vAlign w:val="center"/>
          </w:tcPr>
          <w:p>
            <w:pPr>
              <w:widowControl/>
              <w:snapToGrid w:val="0"/>
              <w:jc w:val="center"/>
              <w:outlineLvl w:val="1"/>
              <w:rPr>
                <w:rFonts w:hint="eastAsia" w:ascii="仿宋" w:hAnsi="仿宋" w:eastAsia="仿宋" w:cs="仿宋"/>
                <w:szCs w:val="21"/>
              </w:rPr>
            </w:pPr>
            <w:bookmarkStart w:id="51" w:name="_Toc469324562"/>
            <w:bookmarkStart w:id="52" w:name="_Toc477957460"/>
            <w:bookmarkStart w:id="53" w:name="_Toc477957310"/>
            <w:r>
              <w:rPr>
                <w:rFonts w:hint="eastAsia" w:ascii="仿宋" w:hAnsi="仿宋" w:eastAsia="仿宋" w:cs="仿宋"/>
                <w:szCs w:val="21"/>
              </w:rPr>
              <w:t>比选要求</w:t>
            </w:r>
            <w:bookmarkEnd w:id="51"/>
            <w:bookmarkEnd w:id="52"/>
            <w:bookmarkEnd w:id="53"/>
          </w:p>
        </w:tc>
        <w:tc>
          <w:tcPr>
            <w:tcW w:w="3624" w:type="dxa"/>
            <w:vAlign w:val="center"/>
          </w:tcPr>
          <w:p>
            <w:pPr>
              <w:widowControl/>
              <w:snapToGrid w:val="0"/>
              <w:ind w:firstLine="411" w:firstLineChars="196"/>
              <w:jc w:val="center"/>
              <w:outlineLvl w:val="1"/>
              <w:rPr>
                <w:rFonts w:hint="eastAsia" w:ascii="仿宋" w:hAnsi="仿宋" w:eastAsia="仿宋" w:cs="仿宋"/>
                <w:szCs w:val="21"/>
              </w:rPr>
            </w:pPr>
            <w:bookmarkStart w:id="54" w:name="_Toc477957461"/>
            <w:bookmarkStart w:id="55" w:name="_Toc477957311"/>
            <w:bookmarkStart w:id="56" w:name="_Toc469324563"/>
            <w:r>
              <w:rPr>
                <w:rFonts w:hint="eastAsia" w:ascii="仿宋" w:hAnsi="仿宋" w:eastAsia="仿宋" w:cs="仿宋"/>
                <w:szCs w:val="21"/>
              </w:rPr>
              <w:t>比选应答</w:t>
            </w:r>
            <w:bookmarkEnd w:id="54"/>
            <w:bookmarkEnd w:id="55"/>
            <w:bookmarkEnd w:id="56"/>
          </w:p>
        </w:tc>
        <w:tc>
          <w:tcPr>
            <w:tcW w:w="1357" w:type="dxa"/>
            <w:vAlign w:val="center"/>
          </w:tcPr>
          <w:p>
            <w:pPr>
              <w:widowControl/>
              <w:snapToGrid w:val="0"/>
              <w:jc w:val="center"/>
              <w:outlineLvl w:val="1"/>
              <w:rPr>
                <w:rFonts w:hint="eastAsia" w:ascii="仿宋" w:hAnsi="仿宋" w:eastAsia="仿宋" w:cs="仿宋"/>
                <w:szCs w:val="21"/>
              </w:rPr>
            </w:pPr>
            <w:bookmarkStart w:id="57" w:name="_Toc477957312"/>
            <w:bookmarkStart w:id="58" w:name="_Toc477957462"/>
            <w:r>
              <w:rPr>
                <w:rFonts w:hint="eastAsia" w:ascii="仿宋" w:hAnsi="仿宋" w:eastAsia="仿宋" w:cs="仿宋"/>
                <w:szCs w:val="21"/>
              </w:rPr>
              <w:t>正/负偏离</w:t>
            </w:r>
            <w:bookmarkEnd w:id="57"/>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55" w:type="dxa"/>
            <w:vAlign w:val="center"/>
          </w:tcPr>
          <w:p>
            <w:pPr>
              <w:widowControl/>
              <w:snapToGrid w:val="0"/>
              <w:jc w:val="center"/>
              <w:outlineLvl w:val="1"/>
              <w:rPr>
                <w:rFonts w:hint="eastAsia" w:ascii="仿宋" w:hAnsi="仿宋" w:eastAsia="仿宋" w:cs="仿宋"/>
                <w:szCs w:val="21"/>
              </w:rPr>
            </w:pPr>
          </w:p>
        </w:tc>
        <w:tc>
          <w:tcPr>
            <w:tcW w:w="2886" w:type="dxa"/>
            <w:vAlign w:val="center"/>
          </w:tcPr>
          <w:p>
            <w:pPr>
              <w:widowControl/>
              <w:snapToGrid w:val="0"/>
              <w:jc w:val="center"/>
              <w:outlineLvl w:val="1"/>
              <w:rPr>
                <w:rFonts w:hint="eastAsia" w:ascii="仿宋" w:hAnsi="仿宋" w:eastAsia="仿宋" w:cs="仿宋"/>
                <w:szCs w:val="21"/>
              </w:rPr>
            </w:pPr>
          </w:p>
        </w:tc>
        <w:tc>
          <w:tcPr>
            <w:tcW w:w="3624" w:type="dxa"/>
            <w:vAlign w:val="center"/>
          </w:tcPr>
          <w:p>
            <w:pPr>
              <w:widowControl/>
              <w:snapToGrid w:val="0"/>
              <w:jc w:val="center"/>
              <w:outlineLvl w:val="1"/>
              <w:rPr>
                <w:rFonts w:hint="eastAsia" w:ascii="仿宋" w:hAnsi="仿宋" w:eastAsia="仿宋" w:cs="仿宋"/>
                <w:szCs w:val="21"/>
              </w:rPr>
            </w:pPr>
          </w:p>
        </w:tc>
        <w:tc>
          <w:tcPr>
            <w:tcW w:w="1357" w:type="dxa"/>
            <w:vAlign w:val="center"/>
          </w:tcPr>
          <w:p>
            <w:pPr>
              <w:widowControl/>
              <w:snapToGrid w:val="0"/>
              <w:jc w:val="center"/>
              <w:outlineLvl w:val="1"/>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55" w:type="dxa"/>
            <w:vAlign w:val="center"/>
          </w:tcPr>
          <w:p>
            <w:pPr>
              <w:widowControl/>
              <w:snapToGrid w:val="0"/>
              <w:jc w:val="center"/>
              <w:outlineLvl w:val="1"/>
              <w:rPr>
                <w:rFonts w:hint="eastAsia" w:ascii="仿宋" w:hAnsi="仿宋" w:eastAsia="仿宋" w:cs="仿宋"/>
                <w:szCs w:val="21"/>
              </w:rPr>
            </w:pPr>
          </w:p>
        </w:tc>
        <w:tc>
          <w:tcPr>
            <w:tcW w:w="2886" w:type="dxa"/>
            <w:vAlign w:val="center"/>
          </w:tcPr>
          <w:p>
            <w:pPr>
              <w:widowControl/>
              <w:snapToGrid w:val="0"/>
              <w:jc w:val="center"/>
              <w:outlineLvl w:val="1"/>
              <w:rPr>
                <w:rFonts w:hint="eastAsia" w:ascii="仿宋" w:hAnsi="仿宋" w:eastAsia="仿宋" w:cs="仿宋"/>
                <w:szCs w:val="21"/>
              </w:rPr>
            </w:pPr>
          </w:p>
        </w:tc>
        <w:tc>
          <w:tcPr>
            <w:tcW w:w="3624" w:type="dxa"/>
            <w:vAlign w:val="center"/>
          </w:tcPr>
          <w:p>
            <w:pPr>
              <w:widowControl/>
              <w:snapToGrid w:val="0"/>
              <w:jc w:val="center"/>
              <w:outlineLvl w:val="1"/>
              <w:rPr>
                <w:rFonts w:hint="eastAsia" w:ascii="仿宋" w:hAnsi="仿宋" w:eastAsia="仿宋" w:cs="仿宋"/>
                <w:szCs w:val="21"/>
              </w:rPr>
            </w:pPr>
          </w:p>
        </w:tc>
        <w:tc>
          <w:tcPr>
            <w:tcW w:w="1357" w:type="dxa"/>
            <w:vAlign w:val="center"/>
          </w:tcPr>
          <w:p>
            <w:pPr>
              <w:widowControl/>
              <w:snapToGrid w:val="0"/>
              <w:jc w:val="center"/>
              <w:outlineLvl w:val="1"/>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55" w:type="dxa"/>
            <w:vAlign w:val="center"/>
          </w:tcPr>
          <w:p>
            <w:pPr>
              <w:widowControl/>
              <w:snapToGrid w:val="0"/>
              <w:jc w:val="center"/>
              <w:outlineLvl w:val="1"/>
              <w:rPr>
                <w:rFonts w:hint="eastAsia" w:ascii="仿宋" w:hAnsi="仿宋" w:eastAsia="仿宋" w:cs="仿宋"/>
                <w:szCs w:val="21"/>
              </w:rPr>
            </w:pPr>
          </w:p>
        </w:tc>
        <w:tc>
          <w:tcPr>
            <w:tcW w:w="2886" w:type="dxa"/>
            <w:vAlign w:val="center"/>
          </w:tcPr>
          <w:p>
            <w:pPr>
              <w:widowControl/>
              <w:snapToGrid w:val="0"/>
              <w:jc w:val="center"/>
              <w:outlineLvl w:val="1"/>
              <w:rPr>
                <w:rFonts w:hint="eastAsia" w:ascii="仿宋" w:hAnsi="仿宋" w:eastAsia="仿宋" w:cs="仿宋"/>
                <w:szCs w:val="21"/>
              </w:rPr>
            </w:pPr>
          </w:p>
        </w:tc>
        <w:tc>
          <w:tcPr>
            <w:tcW w:w="3624" w:type="dxa"/>
            <w:vAlign w:val="center"/>
          </w:tcPr>
          <w:p>
            <w:pPr>
              <w:widowControl/>
              <w:snapToGrid w:val="0"/>
              <w:jc w:val="center"/>
              <w:outlineLvl w:val="1"/>
              <w:rPr>
                <w:rFonts w:hint="eastAsia" w:ascii="仿宋" w:hAnsi="仿宋" w:eastAsia="仿宋" w:cs="仿宋"/>
                <w:szCs w:val="21"/>
              </w:rPr>
            </w:pPr>
          </w:p>
        </w:tc>
        <w:tc>
          <w:tcPr>
            <w:tcW w:w="1357" w:type="dxa"/>
            <w:vAlign w:val="center"/>
          </w:tcPr>
          <w:p>
            <w:pPr>
              <w:widowControl/>
              <w:snapToGrid w:val="0"/>
              <w:jc w:val="center"/>
              <w:outlineLvl w:val="1"/>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55" w:type="dxa"/>
            <w:vAlign w:val="center"/>
          </w:tcPr>
          <w:p>
            <w:pPr>
              <w:widowControl/>
              <w:snapToGrid w:val="0"/>
              <w:jc w:val="center"/>
              <w:outlineLvl w:val="1"/>
              <w:rPr>
                <w:rFonts w:hint="eastAsia" w:ascii="仿宋" w:hAnsi="仿宋" w:eastAsia="仿宋" w:cs="仿宋"/>
                <w:szCs w:val="21"/>
              </w:rPr>
            </w:pPr>
          </w:p>
        </w:tc>
        <w:tc>
          <w:tcPr>
            <w:tcW w:w="2886" w:type="dxa"/>
            <w:vAlign w:val="center"/>
          </w:tcPr>
          <w:p>
            <w:pPr>
              <w:widowControl/>
              <w:snapToGrid w:val="0"/>
              <w:jc w:val="center"/>
              <w:outlineLvl w:val="1"/>
              <w:rPr>
                <w:rFonts w:hint="eastAsia" w:ascii="仿宋" w:hAnsi="仿宋" w:eastAsia="仿宋" w:cs="仿宋"/>
                <w:szCs w:val="21"/>
              </w:rPr>
            </w:pPr>
          </w:p>
        </w:tc>
        <w:tc>
          <w:tcPr>
            <w:tcW w:w="3624" w:type="dxa"/>
            <w:vAlign w:val="center"/>
          </w:tcPr>
          <w:p>
            <w:pPr>
              <w:widowControl/>
              <w:snapToGrid w:val="0"/>
              <w:jc w:val="center"/>
              <w:outlineLvl w:val="1"/>
              <w:rPr>
                <w:rFonts w:hint="eastAsia" w:ascii="仿宋" w:hAnsi="仿宋" w:eastAsia="仿宋" w:cs="仿宋"/>
                <w:szCs w:val="21"/>
              </w:rPr>
            </w:pPr>
          </w:p>
        </w:tc>
        <w:tc>
          <w:tcPr>
            <w:tcW w:w="1357" w:type="dxa"/>
            <w:vAlign w:val="center"/>
          </w:tcPr>
          <w:p>
            <w:pPr>
              <w:widowControl/>
              <w:snapToGrid w:val="0"/>
              <w:jc w:val="center"/>
              <w:outlineLvl w:val="1"/>
              <w:rPr>
                <w:rFonts w:hint="eastAsia" w:ascii="仿宋" w:hAnsi="仿宋" w:eastAsia="仿宋" w:cs="仿宋"/>
                <w:szCs w:val="21"/>
              </w:rPr>
            </w:pPr>
          </w:p>
        </w:tc>
      </w:tr>
    </w:tbl>
    <w:p>
      <w:pPr>
        <w:widowControl/>
        <w:spacing w:line="360" w:lineRule="atLeast"/>
        <w:ind w:firstLine="470" w:firstLineChars="196"/>
        <w:jc w:val="left"/>
        <w:outlineLvl w:val="1"/>
        <w:rPr>
          <w:rFonts w:hint="eastAsia" w:ascii="仿宋" w:hAnsi="仿宋" w:eastAsia="仿宋" w:cs="仿宋"/>
          <w:b/>
          <w:bCs/>
          <w:sz w:val="24"/>
        </w:rPr>
      </w:pPr>
      <w:bookmarkStart w:id="59" w:name="_Toc469324564"/>
      <w:bookmarkStart w:id="60" w:name="_Toc477957463"/>
      <w:bookmarkStart w:id="61" w:name="_Toc477957313"/>
      <w:r>
        <w:rPr>
          <w:rFonts w:hint="eastAsia" w:ascii="仿宋" w:hAnsi="仿宋" w:eastAsia="仿宋" w:cs="仿宋"/>
          <w:sz w:val="24"/>
        </w:rPr>
        <w:t>注：供应商必须据实填写，不得虚假应答，否则将取消其比选或中选资格。</w:t>
      </w:r>
      <w:bookmarkEnd w:id="59"/>
      <w:r>
        <w:rPr>
          <w:rFonts w:hint="eastAsia" w:ascii="仿宋" w:hAnsi="仿宋" w:eastAsia="仿宋" w:cs="仿宋"/>
          <w:sz w:val="24"/>
        </w:rPr>
        <w:t>如与比选文件所列商务相关条款无偏离，则无须逐条应答；如有偏离条款（包括正偏离和负偏离），请将偏离条款逐条应答。</w:t>
      </w:r>
      <w:r>
        <w:rPr>
          <w:rFonts w:hint="eastAsia" w:ascii="仿宋" w:hAnsi="仿宋" w:eastAsia="仿宋" w:cs="仿宋"/>
          <w:b/>
          <w:bCs/>
          <w:sz w:val="24"/>
        </w:rPr>
        <w:t>该表若空白则视为：①供应商对比选文件商务要求完全响应而无差异，②供应商对比选文件表述的商务内容和要求完全理解而无异议。</w:t>
      </w:r>
      <w:bookmarkEnd w:id="60"/>
      <w:bookmarkEnd w:id="61"/>
    </w:p>
    <w:p>
      <w:pPr>
        <w:widowControl/>
        <w:spacing w:line="360" w:lineRule="atLeast"/>
        <w:ind w:firstLine="470" w:firstLineChars="196"/>
        <w:jc w:val="left"/>
        <w:outlineLvl w:val="1"/>
        <w:rPr>
          <w:rFonts w:hint="eastAsia" w:ascii="仿宋" w:hAnsi="仿宋" w:eastAsia="仿宋" w:cs="仿宋"/>
          <w:sz w:val="24"/>
        </w:rPr>
      </w:pPr>
    </w:p>
    <w:p>
      <w:pPr>
        <w:widowControl/>
        <w:spacing w:line="360" w:lineRule="atLeast"/>
        <w:ind w:firstLine="470" w:firstLineChars="196"/>
        <w:jc w:val="left"/>
        <w:outlineLvl w:val="1"/>
        <w:rPr>
          <w:rFonts w:hint="eastAsia" w:ascii="仿宋" w:hAnsi="仿宋" w:eastAsia="仿宋" w:cs="仿宋"/>
          <w:sz w:val="24"/>
        </w:rPr>
      </w:pPr>
    </w:p>
    <w:p>
      <w:pPr>
        <w:widowControl/>
        <w:spacing w:line="360" w:lineRule="atLeast"/>
        <w:ind w:firstLine="470" w:firstLineChars="196"/>
        <w:jc w:val="left"/>
        <w:outlineLvl w:val="1"/>
        <w:rPr>
          <w:rFonts w:hint="eastAsia" w:ascii="仿宋" w:hAnsi="仿宋" w:eastAsia="仿宋" w:cs="仿宋"/>
          <w:sz w:val="24"/>
        </w:rPr>
      </w:pPr>
    </w:p>
    <w:p>
      <w:pPr>
        <w:widowControl/>
        <w:spacing w:line="480" w:lineRule="auto"/>
        <w:ind w:firstLine="470" w:firstLineChars="196"/>
        <w:jc w:val="left"/>
        <w:outlineLvl w:val="1"/>
        <w:rPr>
          <w:rFonts w:hint="eastAsia" w:ascii="仿宋" w:hAnsi="仿宋" w:eastAsia="仿宋" w:cs="仿宋"/>
          <w:sz w:val="24"/>
        </w:rPr>
      </w:pPr>
      <w:bookmarkStart w:id="62" w:name="_Toc469324565"/>
      <w:bookmarkStart w:id="63" w:name="_Toc477957314"/>
      <w:bookmarkStart w:id="64" w:name="_Toc477957464"/>
      <w:r>
        <w:rPr>
          <w:rFonts w:hint="eastAsia" w:ascii="仿宋" w:hAnsi="仿宋" w:eastAsia="仿宋" w:cs="仿宋"/>
          <w:sz w:val="24"/>
        </w:rPr>
        <w:t>供应商名称：×××××（单位公章）。</w:t>
      </w:r>
      <w:bookmarkEnd w:id="62"/>
      <w:bookmarkEnd w:id="63"/>
      <w:bookmarkEnd w:id="64"/>
    </w:p>
    <w:p>
      <w:pPr>
        <w:widowControl/>
        <w:spacing w:line="480" w:lineRule="auto"/>
        <w:ind w:firstLine="470" w:firstLineChars="196"/>
        <w:jc w:val="left"/>
        <w:outlineLvl w:val="1"/>
        <w:rPr>
          <w:rFonts w:hint="eastAsia" w:ascii="仿宋" w:hAnsi="仿宋" w:eastAsia="仿宋" w:cs="仿宋"/>
          <w:sz w:val="24"/>
        </w:rPr>
      </w:pPr>
      <w:bookmarkStart w:id="65" w:name="_Toc477957465"/>
      <w:bookmarkStart w:id="66" w:name="_Toc477957315"/>
      <w:bookmarkStart w:id="67" w:name="_Toc469324566"/>
      <w:r>
        <w:rPr>
          <w:rFonts w:hint="eastAsia" w:ascii="仿宋" w:hAnsi="仿宋" w:eastAsia="仿宋" w:cs="仿宋"/>
          <w:sz w:val="24"/>
        </w:rPr>
        <w:t>法定代表人或授权代表（签字）：×××××。</w:t>
      </w:r>
      <w:bookmarkEnd w:id="65"/>
      <w:bookmarkEnd w:id="66"/>
      <w:bookmarkEnd w:id="67"/>
    </w:p>
    <w:p>
      <w:pPr>
        <w:widowControl/>
        <w:spacing w:line="480" w:lineRule="auto"/>
        <w:ind w:firstLine="470" w:firstLineChars="196"/>
        <w:jc w:val="left"/>
        <w:outlineLvl w:val="1"/>
        <w:rPr>
          <w:rFonts w:hint="eastAsia" w:ascii="仿宋" w:hAnsi="仿宋" w:eastAsia="仿宋" w:cs="仿宋"/>
          <w:sz w:val="24"/>
        </w:rPr>
      </w:pPr>
      <w:bookmarkStart w:id="68" w:name="_Toc469324567"/>
      <w:bookmarkStart w:id="69" w:name="_Toc477957316"/>
      <w:bookmarkStart w:id="70" w:name="_Toc477957466"/>
      <w:r>
        <w:rPr>
          <w:rFonts w:hint="eastAsia" w:ascii="仿宋" w:hAnsi="仿宋" w:eastAsia="仿宋" w:cs="仿宋"/>
          <w:sz w:val="24"/>
        </w:rPr>
        <w:t>比选日期:×××××。</w:t>
      </w:r>
      <w:bookmarkEnd w:id="68"/>
      <w:bookmarkEnd w:id="69"/>
      <w:bookmarkEnd w:id="70"/>
    </w:p>
    <w:p>
      <w:pPr>
        <w:pStyle w:val="53"/>
        <w:snapToGrid w:val="0"/>
        <w:ind w:firstLine="0" w:firstLineChars="0"/>
        <w:jc w:val="center"/>
        <w:rPr>
          <w:rFonts w:hint="eastAsia" w:ascii="仿宋" w:hAnsi="仿宋" w:eastAsia="仿宋" w:cs="仿宋"/>
          <w:sz w:val="24"/>
        </w:rPr>
      </w:pPr>
      <w:r>
        <w:rPr>
          <w:rFonts w:hint="eastAsia" w:ascii="仿宋" w:hAnsi="仿宋" w:eastAsia="仿宋" w:cs="仿宋"/>
          <w:sz w:val="24"/>
        </w:rPr>
        <w:br w:type="page"/>
      </w:r>
      <w:bookmarkStart w:id="71" w:name="_Toc217446088"/>
    </w:p>
    <w:p>
      <w:pPr>
        <w:pStyle w:val="53"/>
        <w:snapToGrid w:val="0"/>
        <w:ind w:firstLine="0" w:firstLineChars="0"/>
        <w:jc w:val="center"/>
        <w:rPr>
          <w:rFonts w:hint="eastAsia" w:ascii="仿宋" w:hAnsi="仿宋" w:eastAsia="仿宋" w:cs="仿宋"/>
          <w:b/>
          <w:sz w:val="30"/>
          <w:szCs w:val="30"/>
        </w:rPr>
      </w:pPr>
      <w:r>
        <w:rPr>
          <w:rFonts w:hint="eastAsia" w:ascii="仿宋" w:hAnsi="仿宋" w:eastAsia="仿宋" w:cs="仿宋"/>
          <w:b/>
          <w:sz w:val="30"/>
          <w:szCs w:val="30"/>
          <w:lang w:val="en-US" w:eastAsia="zh-CN"/>
        </w:rPr>
        <w:t>五</w:t>
      </w:r>
      <w:r>
        <w:rPr>
          <w:rFonts w:hint="eastAsia" w:ascii="仿宋" w:hAnsi="仿宋" w:eastAsia="仿宋" w:cs="仿宋"/>
          <w:b/>
          <w:sz w:val="30"/>
          <w:szCs w:val="30"/>
        </w:rPr>
        <w:t>、</w:t>
      </w:r>
      <w:bookmarkStart w:id="72" w:name="_Toc24081"/>
      <w:r>
        <w:rPr>
          <w:rFonts w:hint="eastAsia" w:ascii="仿宋" w:hAnsi="仿宋" w:eastAsia="仿宋"/>
          <w:b/>
          <w:sz w:val="30"/>
          <w:szCs w:val="30"/>
        </w:rPr>
        <w:t>本项目管理、服务、其他人员情况表</w:t>
      </w:r>
      <w:bookmarkEnd w:id="72"/>
    </w:p>
    <w:tbl>
      <w:tblPr>
        <w:tblStyle w:val="20"/>
        <w:tblW w:w="9301" w:type="dxa"/>
        <w:jc w:val="center"/>
        <w:tblLayout w:type="autofit"/>
        <w:tblCellMar>
          <w:top w:w="0" w:type="dxa"/>
          <w:left w:w="10" w:type="dxa"/>
          <w:bottom w:w="0" w:type="dxa"/>
          <w:right w:w="10" w:type="dxa"/>
        </w:tblCellMar>
      </w:tblPr>
      <w:tblGrid>
        <w:gridCol w:w="467"/>
        <w:gridCol w:w="456"/>
        <w:gridCol w:w="456"/>
        <w:gridCol w:w="1233"/>
        <w:gridCol w:w="1234"/>
        <w:gridCol w:w="1930"/>
        <w:gridCol w:w="1408"/>
        <w:gridCol w:w="2117"/>
      </w:tblGrid>
      <w:tr>
        <w:tblPrEx>
          <w:tblCellMar>
            <w:top w:w="0" w:type="dxa"/>
            <w:left w:w="10" w:type="dxa"/>
            <w:bottom w:w="0" w:type="dxa"/>
            <w:right w:w="10" w:type="dxa"/>
          </w:tblCellMar>
        </w:tblPrEx>
        <w:trPr>
          <w:trHeight w:val="716"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ascii="仿宋" w:hAnsi="仿宋" w:eastAsia="仿宋"/>
                <w:sz w:val="21"/>
                <w:szCs w:val="21"/>
              </w:rPr>
            </w:pPr>
            <w:r>
              <w:rPr>
                <w:rFonts w:hint="eastAsia" w:ascii="仿宋" w:hAnsi="仿宋" w:eastAsia="仿宋" w:cs="仿宋"/>
                <w:b/>
                <w:sz w:val="30"/>
                <w:szCs w:val="30"/>
              </w:rPr>
              <w:br w:type="page"/>
            </w:r>
            <w:r>
              <w:rPr>
                <w:rFonts w:hint="eastAsia" w:ascii="仿宋" w:hAnsi="仿宋" w:eastAsia="仿宋"/>
                <w:sz w:val="21"/>
                <w:szCs w:val="21"/>
              </w:rPr>
              <w:t>序号</w:t>
            </w:r>
          </w:p>
        </w:tc>
        <w:tc>
          <w:tcPr>
            <w:tcW w:w="9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项目</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姓名</w:t>
            </w: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 xml:space="preserve">职称 </w:t>
            </w: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持何种资格证件</w:t>
            </w:r>
          </w:p>
          <w:p>
            <w:pPr>
              <w:snapToGrid w:val="0"/>
              <w:jc w:val="center"/>
              <w:rPr>
                <w:rFonts w:ascii="仿宋" w:hAnsi="仿宋" w:eastAsia="仿宋"/>
                <w:sz w:val="21"/>
                <w:szCs w:val="21"/>
              </w:rPr>
            </w:pPr>
            <w:r>
              <w:rPr>
                <w:rFonts w:hint="eastAsia" w:ascii="仿宋" w:hAnsi="仿宋" w:eastAsia="仿宋"/>
                <w:sz w:val="21"/>
                <w:szCs w:val="21"/>
              </w:rPr>
              <w:t>有否上岗证</w:t>
            </w: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发证时间</w:t>
            </w: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从事本工作时间</w:t>
            </w:r>
          </w:p>
        </w:tc>
      </w:tr>
      <w:tr>
        <w:tblPrEx>
          <w:tblCellMar>
            <w:top w:w="0" w:type="dxa"/>
            <w:left w:w="10" w:type="dxa"/>
            <w:bottom w:w="0" w:type="dxa"/>
            <w:right w:w="10" w:type="dxa"/>
          </w:tblCellMar>
        </w:tblPrEx>
        <w:trPr>
          <w:cantSplit/>
          <w:trHeight w:val="348"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1</w:t>
            </w:r>
          </w:p>
        </w:tc>
        <w:tc>
          <w:tcPr>
            <w:tcW w:w="912" w:type="dxa"/>
            <w:gridSpan w:val="2"/>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技术</w:t>
            </w:r>
          </w:p>
          <w:p>
            <w:pPr>
              <w:snapToGrid w:val="0"/>
              <w:jc w:val="center"/>
              <w:rPr>
                <w:rFonts w:ascii="仿宋" w:hAnsi="仿宋" w:eastAsia="仿宋"/>
                <w:sz w:val="21"/>
                <w:szCs w:val="21"/>
              </w:rPr>
            </w:pPr>
            <w:r>
              <w:rPr>
                <w:rFonts w:hint="eastAsia" w:ascii="仿宋" w:hAnsi="仿宋" w:eastAsia="仿宋"/>
                <w:sz w:val="21"/>
                <w:szCs w:val="21"/>
              </w:rPr>
              <w:t>管理</w:t>
            </w:r>
          </w:p>
          <w:p>
            <w:pPr>
              <w:snapToGrid w:val="0"/>
              <w:jc w:val="center"/>
              <w:rPr>
                <w:rFonts w:ascii="仿宋" w:hAnsi="仿宋" w:eastAsia="仿宋"/>
                <w:sz w:val="21"/>
                <w:szCs w:val="21"/>
              </w:rPr>
            </w:pPr>
            <w:r>
              <w:rPr>
                <w:rFonts w:hint="eastAsia" w:ascii="仿宋" w:hAnsi="仿宋" w:eastAsia="仿宋"/>
                <w:sz w:val="21"/>
                <w:szCs w:val="21"/>
              </w:rPr>
              <w:t>人员</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348"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2</w:t>
            </w: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rFonts w:ascii="仿宋" w:hAnsi="仿宋" w:eastAsia="仿宋"/>
                <w:sz w:val="21"/>
                <w:szCs w:val="21"/>
              </w:rPr>
            </w:pP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348"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3</w:t>
            </w: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rFonts w:ascii="仿宋" w:hAnsi="仿宋" w:eastAsia="仿宋"/>
                <w:sz w:val="21"/>
                <w:szCs w:val="21"/>
              </w:rPr>
            </w:pP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363"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4</w:t>
            </w:r>
          </w:p>
        </w:tc>
        <w:tc>
          <w:tcPr>
            <w:tcW w:w="912" w:type="dxa"/>
            <w:gridSpan w:val="2"/>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电脑操作人员</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363"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5</w:t>
            </w: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rFonts w:ascii="仿宋" w:hAnsi="仿宋" w:eastAsia="仿宋"/>
                <w:sz w:val="21"/>
                <w:szCs w:val="21"/>
              </w:rPr>
            </w:pP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363"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6</w:t>
            </w: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rFonts w:ascii="仿宋" w:hAnsi="仿宋" w:eastAsia="仿宋"/>
                <w:sz w:val="21"/>
                <w:szCs w:val="21"/>
              </w:rPr>
            </w:pP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315"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7</w:t>
            </w:r>
          </w:p>
        </w:tc>
        <w:tc>
          <w:tcPr>
            <w:tcW w:w="912" w:type="dxa"/>
            <w:gridSpan w:val="2"/>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检验</w:t>
            </w:r>
          </w:p>
          <w:p>
            <w:pPr>
              <w:snapToGrid w:val="0"/>
              <w:jc w:val="center"/>
              <w:rPr>
                <w:rFonts w:ascii="仿宋" w:hAnsi="仿宋" w:eastAsia="仿宋"/>
                <w:sz w:val="21"/>
                <w:szCs w:val="21"/>
              </w:rPr>
            </w:pPr>
            <w:r>
              <w:rPr>
                <w:rFonts w:hint="eastAsia" w:ascii="仿宋" w:hAnsi="仿宋" w:eastAsia="仿宋"/>
                <w:sz w:val="21"/>
                <w:szCs w:val="21"/>
              </w:rPr>
              <w:t>人员</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315"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8</w:t>
            </w: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rFonts w:ascii="仿宋" w:hAnsi="仿宋" w:eastAsia="仿宋"/>
                <w:sz w:val="21"/>
                <w:szCs w:val="21"/>
              </w:rPr>
            </w:pP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275"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9</w:t>
            </w:r>
          </w:p>
        </w:tc>
        <w:tc>
          <w:tcPr>
            <w:tcW w:w="912" w:type="dxa"/>
            <w:gridSpan w:val="2"/>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财会</w:t>
            </w:r>
          </w:p>
          <w:p>
            <w:pPr>
              <w:snapToGrid w:val="0"/>
              <w:jc w:val="center"/>
              <w:rPr>
                <w:rFonts w:ascii="仿宋" w:hAnsi="仿宋" w:eastAsia="仿宋"/>
                <w:sz w:val="21"/>
                <w:szCs w:val="21"/>
              </w:rPr>
            </w:pPr>
            <w:r>
              <w:rPr>
                <w:rFonts w:hint="eastAsia" w:ascii="仿宋" w:hAnsi="仿宋" w:eastAsia="仿宋"/>
                <w:sz w:val="21"/>
                <w:szCs w:val="21"/>
              </w:rPr>
              <w:t>人员</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300"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10</w:t>
            </w: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rFonts w:ascii="仿宋" w:hAnsi="仿宋" w:eastAsia="仿宋"/>
                <w:sz w:val="21"/>
                <w:szCs w:val="21"/>
              </w:rPr>
            </w:pP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277"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11</w:t>
            </w:r>
          </w:p>
        </w:tc>
        <w:tc>
          <w:tcPr>
            <w:tcW w:w="456"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技术工人</w:t>
            </w:r>
          </w:p>
        </w:tc>
        <w:tc>
          <w:tcPr>
            <w:tcW w:w="456"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发</w:t>
            </w:r>
          </w:p>
          <w:p>
            <w:pPr>
              <w:snapToGrid w:val="0"/>
              <w:jc w:val="center"/>
              <w:rPr>
                <w:rFonts w:ascii="仿宋" w:hAnsi="仿宋" w:eastAsia="仿宋"/>
                <w:sz w:val="21"/>
                <w:szCs w:val="21"/>
              </w:rPr>
            </w:pPr>
            <w:r>
              <w:rPr>
                <w:rFonts w:hint="eastAsia" w:ascii="仿宋" w:hAnsi="仿宋" w:eastAsia="仿宋"/>
                <w:sz w:val="21"/>
                <w:szCs w:val="21"/>
              </w:rPr>
              <w:t>动机</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278"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12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rFonts w:ascii="仿宋" w:hAnsi="仿宋" w:eastAsia="仿宋"/>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rFonts w:ascii="仿宋" w:hAnsi="仿宋" w:eastAsia="仿宋"/>
                <w:sz w:val="21"/>
                <w:szCs w:val="21"/>
              </w:rPr>
            </w:pP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95"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13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rFonts w:ascii="仿宋" w:hAnsi="仿宋" w:eastAsia="仿宋"/>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rFonts w:ascii="仿宋" w:hAnsi="仿宋" w:eastAsia="仿宋"/>
                <w:sz w:val="21"/>
                <w:szCs w:val="21"/>
              </w:rPr>
            </w:pP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278"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14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rFonts w:ascii="仿宋" w:hAnsi="仿宋" w:eastAsia="仿宋"/>
                <w:sz w:val="21"/>
                <w:szCs w:val="21"/>
              </w:rPr>
            </w:pPr>
          </w:p>
        </w:tc>
        <w:tc>
          <w:tcPr>
            <w:tcW w:w="456"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冷电</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445"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15</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rFonts w:ascii="仿宋" w:hAnsi="仿宋" w:eastAsia="仿宋"/>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rFonts w:ascii="仿宋" w:hAnsi="仿宋" w:eastAsia="仿宋"/>
                <w:sz w:val="21"/>
                <w:szCs w:val="21"/>
              </w:rPr>
            </w:pP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277"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16</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rFonts w:ascii="仿宋" w:hAnsi="仿宋" w:eastAsia="仿宋"/>
                <w:sz w:val="21"/>
                <w:szCs w:val="21"/>
              </w:rPr>
            </w:pPr>
          </w:p>
        </w:tc>
        <w:tc>
          <w:tcPr>
            <w:tcW w:w="456"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钣喷</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371"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17</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rFonts w:ascii="仿宋" w:hAnsi="仿宋" w:eastAsia="仿宋"/>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rFonts w:ascii="仿宋" w:hAnsi="仿宋" w:eastAsia="仿宋"/>
                <w:sz w:val="21"/>
                <w:szCs w:val="21"/>
              </w:rPr>
            </w:pP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278"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18</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rFonts w:ascii="仿宋" w:hAnsi="仿宋" w:eastAsia="仿宋"/>
                <w:sz w:val="21"/>
                <w:szCs w:val="21"/>
              </w:rPr>
            </w:pPr>
          </w:p>
        </w:tc>
        <w:tc>
          <w:tcPr>
            <w:tcW w:w="456"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底盘</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381"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19</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rFonts w:ascii="仿宋" w:hAnsi="仿宋" w:eastAsia="仿宋"/>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rFonts w:ascii="仿宋" w:hAnsi="仿宋" w:eastAsia="仿宋"/>
                <w:sz w:val="21"/>
                <w:szCs w:val="21"/>
              </w:rPr>
            </w:pP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bl>
    <w:p>
      <w:pPr>
        <w:pStyle w:val="61"/>
        <w:snapToGrid w:val="0"/>
        <w:spacing w:line="480" w:lineRule="auto"/>
        <w:ind w:firstLine="480"/>
        <w:rPr>
          <w:rFonts w:hint="eastAsia" w:ascii="仿宋" w:hAnsi="仿宋" w:eastAsia="仿宋" w:cs="仿宋"/>
          <w:color w:val="000000"/>
        </w:rPr>
      </w:pPr>
    </w:p>
    <w:p>
      <w:pPr>
        <w:pStyle w:val="61"/>
        <w:snapToGrid w:val="0"/>
        <w:spacing w:line="480" w:lineRule="auto"/>
        <w:ind w:firstLine="480"/>
        <w:rPr>
          <w:rFonts w:hint="eastAsia" w:ascii="仿宋" w:hAnsi="仿宋" w:eastAsia="仿宋" w:cs="仿宋"/>
          <w:color w:val="000000"/>
        </w:rPr>
      </w:pPr>
      <w:r>
        <w:rPr>
          <w:rFonts w:hint="eastAsia" w:ascii="仿宋" w:hAnsi="仿宋" w:eastAsia="仿宋" w:cs="仿宋"/>
          <w:color w:val="000000"/>
        </w:rPr>
        <w:t>供应商名称：</w:t>
      </w:r>
      <w:r>
        <w:rPr>
          <w:rFonts w:hint="eastAsia" w:ascii="仿宋" w:hAnsi="仿宋" w:eastAsia="仿宋" w:cs="仿宋_GB2312"/>
          <w:u w:val="single"/>
        </w:rPr>
        <w:t xml:space="preserve">                                      </w:t>
      </w:r>
      <w:r>
        <w:rPr>
          <w:rFonts w:hint="eastAsia" w:ascii="仿宋" w:hAnsi="仿宋" w:eastAsia="仿宋" w:cs="仿宋"/>
          <w:color w:val="000000"/>
        </w:rPr>
        <w:t>（盖单位公章）</w:t>
      </w:r>
    </w:p>
    <w:p>
      <w:pPr>
        <w:pStyle w:val="61"/>
        <w:snapToGrid w:val="0"/>
        <w:spacing w:line="480" w:lineRule="auto"/>
        <w:ind w:firstLine="480"/>
        <w:rPr>
          <w:rFonts w:hint="eastAsia" w:ascii="仿宋" w:hAnsi="仿宋" w:eastAsia="仿宋" w:cs="仿宋"/>
          <w:color w:val="FF0000"/>
        </w:rPr>
      </w:pPr>
      <w:r>
        <w:rPr>
          <w:rFonts w:hint="eastAsia" w:ascii="仿宋" w:hAnsi="仿宋" w:eastAsia="仿宋" w:cs="仿宋"/>
          <w:color w:val="000000"/>
        </w:rPr>
        <w:t>法定责任人或授权代表：</w:t>
      </w:r>
      <w:r>
        <w:rPr>
          <w:rFonts w:hint="eastAsia" w:ascii="仿宋" w:hAnsi="仿宋" w:eastAsia="仿宋" w:cs="仿宋_GB2312"/>
          <w:u w:val="single"/>
        </w:rPr>
        <w:t xml:space="preserve">                     </w:t>
      </w:r>
      <w:r>
        <w:rPr>
          <w:rFonts w:hint="eastAsia" w:ascii="仿宋" w:hAnsi="仿宋" w:eastAsia="仿宋" w:cs="仿宋"/>
          <w:color w:val="000000"/>
        </w:rPr>
        <w:t>（签字）</w:t>
      </w:r>
    </w:p>
    <w:p>
      <w:pPr>
        <w:pStyle w:val="61"/>
        <w:snapToGrid w:val="0"/>
        <w:spacing w:line="480" w:lineRule="auto"/>
        <w:ind w:firstLine="480"/>
        <w:rPr>
          <w:rFonts w:hint="eastAsia" w:ascii="仿宋" w:hAnsi="仿宋" w:eastAsia="仿宋" w:cs="仿宋"/>
          <w:color w:val="000000"/>
        </w:rPr>
      </w:pPr>
      <w:r>
        <w:rPr>
          <w:rFonts w:hint="eastAsia" w:ascii="仿宋" w:hAnsi="仿宋" w:eastAsia="仿宋" w:cs="仿宋"/>
          <w:color w:val="000000"/>
        </w:rPr>
        <w:t>日    期：</w:t>
      </w:r>
      <w:r>
        <w:rPr>
          <w:rFonts w:hint="eastAsia" w:ascii="仿宋" w:hAnsi="仿宋" w:eastAsia="仿宋" w:cs="仿宋_GB2312"/>
          <w:u w:val="single"/>
        </w:rPr>
        <w:t xml:space="preserve">          </w:t>
      </w:r>
      <w:r>
        <w:rPr>
          <w:rFonts w:hint="eastAsia" w:ascii="仿宋" w:hAnsi="仿宋" w:eastAsia="仿宋" w:cs="仿宋"/>
          <w:color w:val="000000"/>
        </w:rPr>
        <w:t>年</w:t>
      </w:r>
      <w:r>
        <w:rPr>
          <w:rFonts w:hint="eastAsia" w:ascii="仿宋" w:hAnsi="仿宋" w:eastAsia="仿宋" w:cs="仿宋_GB2312"/>
          <w:u w:val="single"/>
        </w:rPr>
        <w:t xml:space="preserve">    </w:t>
      </w:r>
      <w:r>
        <w:rPr>
          <w:rFonts w:hint="eastAsia" w:ascii="仿宋" w:hAnsi="仿宋" w:eastAsia="仿宋" w:cs="仿宋"/>
          <w:color w:val="000000"/>
        </w:rPr>
        <w:t>月</w:t>
      </w:r>
      <w:r>
        <w:rPr>
          <w:rFonts w:hint="eastAsia" w:ascii="仿宋" w:hAnsi="仿宋" w:eastAsia="仿宋" w:cs="仿宋_GB2312"/>
          <w:u w:val="single"/>
        </w:rPr>
        <w:t xml:space="preserve">    </w:t>
      </w:r>
      <w:r>
        <w:rPr>
          <w:rFonts w:hint="eastAsia" w:ascii="仿宋" w:hAnsi="仿宋" w:eastAsia="仿宋" w:cs="仿宋"/>
          <w:color w:val="000000"/>
        </w:rPr>
        <w:t>日</w:t>
      </w:r>
    </w:p>
    <w:p>
      <w:pPr>
        <w:rPr>
          <w:rFonts w:hint="eastAsia" w:ascii="仿宋" w:hAnsi="仿宋" w:eastAsia="仿宋" w:cs="仿宋"/>
          <w:b/>
          <w:sz w:val="30"/>
          <w:szCs w:val="30"/>
        </w:rPr>
      </w:pPr>
    </w:p>
    <w:p>
      <w:pPr>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br w:type="page"/>
      </w:r>
    </w:p>
    <w:p>
      <w:pPr>
        <w:pStyle w:val="53"/>
        <w:snapToGrid w:val="0"/>
        <w:ind w:firstLine="0" w:firstLineChars="0"/>
        <w:jc w:val="center"/>
        <w:rPr>
          <w:rFonts w:hint="eastAsia" w:ascii="仿宋" w:hAnsi="仿宋" w:eastAsia="仿宋" w:cs="仿宋"/>
          <w:b/>
          <w:sz w:val="30"/>
          <w:szCs w:val="30"/>
        </w:rPr>
      </w:pPr>
      <w:r>
        <w:rPr>
          <w:rFonts w:hint="eastAsia" w:ascii="仿宋" w:hAnsi="仿宋" w:eastAsia="仿宋" w:cs="仿宋"/>
          <w:b/>
          <w:sz w:val="30"/>
          <w:szCs w:val="30"/>
          <w:lang w:val="en-US" w:eastAsia="zh-CN"/>
        </w:rPr>
        <w:t>六、</w:t>
      </w:r>
      <w:r>
        <w:rPr>
          <w:rFonts w:hint="eastAsia" w:ascii="仿宋" w:hAnsi="仿宋" w:eastAsia="仿宋" w:cs="仿宋"/>
          <w:b/>
          <w:sz w:val="30"/>
          <w:szCs w:val="30"/>
        </w:rPr>
        <w:t>供应商</w:t>
      </w:r>
      <w:bookmarkEnd w:id="71"/>
      <w:r>
        <w:rPr>
          <w:rFonts w:hint="eastAsia" w:ascii="仿宋" w:hAnsi="仿宋" w:eastAsia="仿宋" w:cs="仿宋"/>
          <w:b/>
          <w:sz w:val="30"/>
          <w:szCs w:val="30"/>
        </w:rPr>
        <w:t>其他资料</w:t>
      </w:r>
    </w:p>
    <w:p>
      <w:pPr>
        <w:widowControl/>
        <w:spacing w:line="360" w:lineRule="atLeast"/>
        <w:ind w:firstLine="472" w:firstLineChars="196"/>
        <w:jc w:val="center"/>
        <w:outlineLvl w:val="1"/>
        <w:rPr>
          <w:rFonts w:hint="eastAsia" w:ascii="仿宋" w:hAnsi="仿宋" w:eastAsia="仿宋" w:cs="仿宋"/>
          <w:b/>
          <w:sz w:val="24"/>
        </w:rPr>
      </w:pPr>
    </w:p>
    <w:p>
      <w:pPr>
        <w:widowControl/>
        <w:spacing w:line="360" w:lineRule="atLeast"/>
        <w:ind w:firstLine="472" w:firstLineChars="196"/>
        <w:jc w:val="center"/>
        <w:outlineLvl w:val="1"/>
        <w:rPr>
          <w:rFonts w:hint="eastAsia" w:ascii="仿宋" w:hAnsi="仿宋" w:eastAsia="仿宋" w:cs="仿宋"/>
          <w:b/>
          <w:sz w:val="24"/>
        </w:rPr>
      </w:pPr>
    </w:p>
    <w:p>
      <w:pPr>
        <w:widowControl/>
        <w:spacing w:line="360" w:lineRule="atLeast"/>
        <w:ind w:firstLine="472" w:firstLineChars="196"/>
        <w:jc w:val="center"/>
        <w:outlineLvl w:val="1"/>
        <w:rPr>
          <w:rFonts w:hint="eastAsia" w:ascii="仿宋" w:hAnsi="仿宋" w:eastAsia="仿宋" w:cs="仿宋"/>
          <w:b/>
          <w:sz w:val="24"/>
        </w:rPr>
      </w:pPr>
    </w:p>
    <w:p>
      <w:pPr>
        <w:widowControl/>
        <w:spacing w:line="360" w:lineRule="atLeast"/>
        <w:jc w:val="center"/>
        <w:outlineLvl w:val="1"/>
        <w:rPr>
          <w:rFonts w:hint="eastAsia" w:ascii="仿宋" w:hAnsi="仿宋" w:eastAsia="仿宋" w:cs="仿宋"/>
          <w:b/>
          <w:sz w:val="24"/>
        </w:rPr>
      </w:pPr>
      <w:r>
        <w:rPr>
          <w:rFonts w:hint="eastAsia" w:ascii="仿宋" w:hAnsi="仿宋" w:eastAsia="仿宋" w:cs="仿宋"/>
          <w:b/>
          <w:sz w:val="24"/>
        </w:rPr>
        <w:t>格式自拟</w:t>
      </w:r>
    </w:p>
    <w:p>
      <w:pPr>
        <w:widowControl/>
        <w:snapToGrid w:val="0"/>
        <w:spacing w:line="480" w:lineRule="auto"/>
        <w:ind w:firstLine="705" w:firstLineChars="196"/>
        <w:jc w:val="center"/>
        <w:outlineLvl w:val="1"/>
        <w:rPr>
          <w:rFonts w:hint="eastAsia" w:ascii="仿宋" w:hAnsi="仿宋" w:eastAsia="仿宋" w:cs="仿宋"/>
          <w:bCs/>
          <w:sz w:val="36"/>
          <w:szCs w:val="36"/>
        </w:rPr>
      </w:pPr>
      <w:bookmarkStart w:id="73" w:name="_Toc217446089"/>
      <w:r>
        <w:rPr>
          <w:rFonts w:hint="eastAsia" w:ascii="仿宋" w:hAnsi="仿宋" w:eastAsia="仿宋" w:cs="仿宋"/>
          <w:bCs/>
          <w:sz w:val="36"/>
          <w:szCs w:val="36"/>
        </w:rPr>
        <w:br w:type="page"/>
      </w:r>
    </w:p>
    <w:bookmarkEnd w:id="73"/>
    <w:p>
      <w:pPr>
        <w:widowControl/>
        <w:snapToGrid w:val="0"/>
        <w:spacing w:line="480" w:lineRule="auto"/>
        <w:jc w:val="center"/>
        <w:outlineLvl w:val="1"/>
        <w:rPr>
          <w:rFonts w:hint="eastAsia" w:ascii="仿宋" w:hAnsi="仿宋" w:eastAsia="仿宋" w:cs="仿宋"/>
          <w:b/>
          <w:bCs w:val="0"/>
          <w:sz w:val="32"/>
          <w:szCs w:val="32"/>
        </w:rPr>
      </w:pPr>
      <w:bookmarkStart w:id="74" w:name="_Toc477957546"/>
      <w:bookmarkStart w:id="75" w:name="_Toc477957396"/>
      <w:r>
        <w:rPr>
          <w:rFonts w:hint="eastAsia" w:ascii="仿宋" w:hAnsi="仿宋" w:eastAsia="仿宋" w:cs="仿宋"/>
          <w:b/>
          <w:bCs w:val="0"/>
          <w:sz w:val="32"/>
          <w:szCs w:val="32"/>
        </w:rPr>
        <w:t>第七章  评审办法</w:t>
      </w:r>
      <w:bookmarkEnd w:id="74"/>
      <w:bookmarkEnd w:id="75"/>
    </w:p>
    <w:p>
      <w:pPr>
        <w:tabs>
          <w:tab w:val="left" w:pos="7665"/>
        </w:tabs>
        <w:snapToGrid w:val="0"/>
        <w:spacing w:before="312" w:beforeLines="100" w:after="312" w:afterLines="100"/>
        <w:ind w:firstLine="482" w:firstLineChars="200"/>
        <w:rPr>
          <w:rFonts w:hint="eastAsia" w:ascii="仿宋" w:hAnsi="仿宋" w:eastAsia="仿宋" w:cs="仿宋"/>
          <w:b/>
          <w:sz w:val="24"/>
        </w:rPr>
      </w:pPr>
      <w:r>
        <w:rPr>
          <w:rFonts w:hint="eastAsia" w:ascii="仿宋" w:hAnsi="仿宋" w:eastAsia="仿宋" w:cs="仿宋"/>
          <w:b/>
          <w:sz w:val="24"/>
        </w:rPr>
        <w:t>1.总则</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1.1参照《中华人民共和国政府采购法》等法律制度，结合采购项目特点制定本评审办法。</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1.2评审</w:t>
      </w:r>
      <w:r>
        <w:rPr>
          <w:rFonts w:hint="eastAsia" w:ascii="仿宋" w:hAnsi="仿宋" w:eastAsia="仿宋" w:cs="仿宋"/>
          <w:bCs/>
          <w:sz w:val="24"/>
        </w:rPr>
        <w:t>工作由采购代理机构负责组织，具体</w:t>
      </w:r>
      <w:r>
        <w:rPr>
          <w:rFonts w:hint="eastAsia" w:ascii="仿宋" w:hAnsi="仿宋" w:eastAsia="仿宋" w:cs="仿宋"/>
          <w:sz w:val="24"/>
        </w:rPr>
        <w:t>评审</w:t>
      </w:r>
      <w:r>
        <w:rPr>
          <w:rFonts w:hint="eastAsia" w:ascii="仿宋" w:hAnsi="仿宋" w:eastAsia="仿宋" w:cs="仿宋"/>
          <w:bCs/>
          <w:sz w:val="24"/>
        </w:rPr>
        <w:t>事务由采购代理机构依法组建的评审委员会负责。评审委员会由比选人代表和有关技术方面的专家组成。</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1.3评审工作应遵循公平、公正、科学及择优的原则，并以相同的评审程序和标准对待所有的供应商。</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1.4评审委员会按照比选文件规定的评审方法和标准进行评审，并独立履行下列职责：</w:t>
      </w:r>
    </w:p>
    <w:p>
      <w:pPr>
        <w:spacing w:line="400" w:lineRule="exact"/>
        <w:ind w:firstLine="480" w:firstLineChars="200"/>
        <w:rPr>
          <w:rFonts w:hint="eastAsia" w:ascii="仿宋" w:hAnsi="仿宋" w:eastAsia="仿宋" w:cs="仿宋"/>
          <w:sz w:val="24"/>
        </w:rPr>
      </w:pPr>
      <w:bookmarkStart w:id="76" w:name="_Toc217446098"/>
      <w:r>
        <w:rPr>
          <w:rFonts w:hint="eastAsia" w:ascii="仿宋" w:hAnsi="仿宋" w:eastAsia="仿宋" w:cs="仿宋"/>
          <w:sz w:val="24"/>
        </w:rPr>
        <w:t>（一）熟悉和理解比选文件；</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（二）审查响应文件等是否满足比选文件要求，并作出评价；</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（三）根据需要要求比选人对比选文件作出解释；根据需要要求供应商对响应文件有关事项作出澄清、说明或者更正；</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（四）推荐中选候选供应商，或者受比选人委托确定中选人；</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（五）起草评审报告并进行签署；</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（六） 向比选人、监督部门报告非法干预评审工作的行为；</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（七）法律、法规和规章规定的其他职责。</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1.5评审过程独立、保密。供应商非法干预评审过程的行为将导致其响应文件作为无效处理。</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1.6评审委员会评价响应文件的响应性，对于供应商而言，除评审委员会要求其澄清、说明或者更正而提供的资料外，仅依据响应文件本身的内容，不寻求其他外部证据。</w:t>
      </w:r>
    </w:p>
    <w:p>
      <w:pPr>
        <w:tabs>
          <w:tab w:val="left" w:pos="7665"/>
        </w:tabs>
        <w:snapToGrid w:val="0"/>
        <w:spacing w:before="312" w:beforeLines="100" w:after="312" w:afterLines="100"/>
        <w:ind w:firstLine="482" w:firstLineChars="200"/>
        <w:rPr>
          <w:rFonts w:hint="eastAsia" w:ascii="仿宋" w:hAnsi="仿宋" w:eastAsia="仿宋" w:cs="仿宋"/>
          <w:b/>
          <w:sz w:val="24"/>
        </w:rPr>
      </w:pPr>
      <w:r>
        <w:rPr>
          <w:rFonts w:hint="eastAsia" w:ascii="仿宋" w:hAnsi="仿宋" w:eastAsia="仿宋" w:cs="仿宋"/>
          <w:b/>
          <w:sz w:val="24"/>
        </w:rPr>
        <w:t>2、评审方法</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本项目评审方法为：</w:t>
      </w:r>
      <w:r>
        <w:rPr>
          <w:rFonts w:hint="eastAsia" w:ascii="仿宋" w:hAnsi="仿宋" w:eastAsia="仿宋" w:cs="仿宋"/>
          <w:sz w:val="24"/>
          <w:lang w:val="en-US" w:eastAsia="zh-CN"/>
        </w:rPr>
        <w:t>最低评标价法</w:t>
      </w:r>
      <w:r>
        <w:rPr>
          <w:rFonts w:hint="eastAsia" w:ascii="仿宋" w:hAnsi="仿宋" w:eastAsia="仿宋" w:cs="仿宋"/>
          <w:sz w:val="24"/>
        </w:rPr>
        <w:t>。</w:t>
      </w:r>
    </w:p>
    <w:p>
      <w:pPr>
        <w:pStyle w:val="2"/>
        <w:rPr>
          <w:rFonts w:hint="eastAsia" w:ascii="仿宋" w:hAnsi="仿宋" w:eastAsia="仿宋" w:cs="仿宋"/>
          <w:sz w:val="24"/>
          <w:lang w:val="en-US" w:eastAsia="zh-CN"/>
        </w:rPr>
      </w:pPr>
      <w:r>
        <w:rPr>
          <w:rFonts w:hint="eastAsia" w:ascii="仿宋" w:hAnsi="仿宋" w:eastAsia="仿宋" w:cs="仿宋"/>
          <w:sz w:val="24"/>
          <w:lang w:val="en-US" w:eastAsia="zh-CN"/>
        </w:rPr>
        <w:t>评标将以价格因素确定中标候选供应商，即在全部满足招标文件实质性要求前提下，依据统一的价格要素评定最低报价，以提出最低报价的投标人为中标候选供应商或者供应商。评标委员会按各投标人的投标报价由低到高排在前面的中标候选供应商的最低报价或者某些分项报价明显不合理或者低于成本，可能影响商品质量和不能诚信履约的，应当要求其在规定的时限以取消投标人的中标候选资格，按顺序由排在后面的中标候选供应商递补，以此类推。</w:t>
      </w:r>
    </w:p>
    <w:p>
      <w:pPr>
        <w:pStyle w:val="2"/>
        <w:rPr>
          <w:rFonts w:hint="eastAsia" w:ascii="仿宋" w:hAnsi="仿宋" w:eastAsia="仿宋" w:cs="仿宋"/>
          <w:sz w:val="24"/>
          <w:lang w:val="en-US" w:eastAsia="zh-CN"/>
        </w:rPr>
      </w:pPr>
      <w:r>
        <w:rPr>
          <w:rFonts w:hint="eastAsia" w:ascii="仿宋" w:hAnsi="仿宋" w:eastAsia="仿宋" w:cs="仿宋"/>
          <w:sz w:val="24"/>
          <w:lang w:val="en-US" w:eastAsia="zh-CN"/>
        </w:rPr>
        <w:t>2.1评标委员会将确定每一投标人是否对招标文件的要求做出了实质性的响应，而没有重大偏离。实质性响应的投标是指符合招标文件的所有条款、条件和规定且没有重大偏离或保留。</w:t>
      </w:r>
    </w:p>
    <w:p>
      <w:pPr>
        <w:pStyle w:val="2"/>
        <w:rPr>
          <w:rFonts w:hint="eastAsia" w:ascii="仿宋" w:hAnsi="仿宋" w:eastAsia="仿宋" w:cs="仿宋"/>
          <w:sz w:val="24"/>
          <w:lang w:val="en-US" w:eastAsia="zh-CN"/>
        </w:rPr>
      </w:pPr>
      <w:r>
        <w:rPr>
          <w:rFonts w:hint="eastAsia" w:ascii="仿宋" w:hAnsi="仿宋" w:eastAsia="仿宋" w:cs="仿宋"/>
          <w:sz w:val="24"/>
          <w:lang w:val="en-US" w:eastAsia="zh-CN"/>
        </w:rPr>
        <w:t>2.2评标委员会允许投标人修改投标文件中不构成重大偏离的、微小的、非正规、不一致或不规则的地方。但是修改的内容不能改变投标文件的实质性内容，投标人修改的内容以书面文件为准。</w:t>
      </w:r>
    </w:p>
    <w:p>
      <w:pPr>
        <w:pStyle w:val="2"/>
        <w:rPr>
          <w:rFonts w:hint="eastAsia" w:ascii="仿宋" w:hAnsi="仿宋" w:eastAsia="仿宋" w:cs="仿宋"/>
          <w:sz w:val="24"/>
          <w:lang w:val="en-US" w:eastAsia="zh-CN"/>
        </w:rPr>
      </w:pPr>
      <w:r>
        <w:rPr>
          <w:rFonts w:hint="eastAsia" w:ascii="仿宋" w:hAnsi="仿宋" w:eastAsia="仿宋" w:cs="仿宋"/>
          <w:sz w:val="24"/>
          <w:lang w:val="en-US" w:eastAsia="zh-CN"/>
        </w:rPr>
        <w:t>2.3评标委员会将拒绝被确定为非实质性响应的投标文件，投标人不能通过修正或撤销投标文件中的不符之处而使其投标成为实质性响应的投标。</w:t>
      </w:r>
    </w:p>
    <w:p>
      <w:pPr>
        <w:pStyle w:val="2"/>
        <w:rPr>
          <w:rFonts w:hint="eastAsia" w:ascii="仿宋" w:hAnsi="仿宋" w:eastAsia="仿宋" w:cs="仿宋"/>
          <w:sz w:val="24"/>
          <w:lang w:val="en-US" w:eastAsia="zh-CN"/>
        </w:rPr>
      </w:pPr>
      <w:r>
        <w:rPr>
          <w:rFonts w:hint="eastAsia" w:ascii="仿宋" w:hAnsi="仿宋" w:eastAsia="仿宋" w:cs="仿宋"/>
          <w:sz w:val="24"/>
          <w:lang w:val="en-US" w:eastAsia="zh-CN"/>
        </w:rPr>
        <w:t>2.4评标委员会（由成都管理处招标办四名成员及综合办公室主任组成）对各投标人的投标报价进行评审。评标委员会发现投标人的报价均为超过采购预算的，评标委员会有权否决所有投标；评标委员会发现投标人的报价明显低于其他投标报价，使其投标报价可能低于其个别成本的，应当要求该投标人作出书面说明并提供相关证明材料，投标人不能合理说明或者不能提供相关证明材料，由评标委员会认定该投标人以低于成本报价竞标，其投标作为废标处理。</w:t>
      </w:r>
    </w:p>
    <w:p>
      <w:pPr>
        <w:pStyle w:val="2"/>
        <w:rPr>
          <w:rFonts w:hint="default" w:ascii="仿宋" w:hAnsi="仿宋" w:eastAsia="仿宋" w:cs="仿宋"/>
          <w:sz w:val="24"/>
          <w:lang w:val="en-US" w:eastAsia="zh-CN"/>
        </w:rPr>
      </w:pPr>
      <w:r>
        <w:rPr>
          <w:rFonts w:hint="eastAsia" w:ascii="仿宋" w:hAnsi="仿宋" w:eastAsia="仿宋" w:cs="仿宋"/>
          <w:sz w:val="24"/>
          <w:lang w:val="en-US" w:eastAsia="zh-CN"/>
        </w:rPr>
        <w:t>2.5评标委员会通过上述评审，确定全部满足招标文件实质性要求前提下，以提出最低报价的投标人为中标供应商。</w:t>
      </w:r>
    </w:p>
    <w:p>
      <w:pPr>
        <w:tabs>
          <w:tab w:val="left" w:pos="7665"/>
        </w:tabs>
        <w:snapToGrid w:val="0"/>
        <w:spacing w:before="312" w:beforeLines="100" w:after="312" w:afterLines="100"/>
        <w:ind w:firstLine="482" w:firstLineChars="200"/>
        <w:rPr>
          <w:rFonts w:hint="eastAsia" w:ascii="仿宋" w:hAnsi="仿宋" w:eastAsia="仿宋" w:cs="仿宋"/>
          <w:b/>
          <w:sz w:val="24"/>
        </w:rPr>
      </w:pPr>
      <w:r>
        <w:rPr>
          <w:rFonts w:hint="eastAsia" w:ascii="仿宋" w:hAnsi="仿宋" w:eastAsia="仿宋" w:cs="仿宋"/>
          <w:b/>
          <w:sz w:val="24"/>
        </w:rPr>
        <w:t>3、评审程序</w:t>
      </w:r>
      <w:bookmarkEnd w:id="76"/>
    </w:p>
    <w:p>
      <w:pPr>
        <w:spacing w:line="400" w:lineRule="exact"/>
        <w:ind w:firstLine="480" w:firstLineChars="200"/>
        <w:rPr>
          <w:rFonts w:hint="eastAsia" w:ascii="仿宋" w:hAnsi="仿宋" w:eastAsia="仿宋" w:cs="仿宋"/>
          <w:sz w:val="24"/>
        </w:rPr>
      </w:pPr>
      <w:bookmarkStart w:id="77" w:name="_Toc217446103"/>
      <w:r>
        <w:rPr>
          <w:rFonts w:hint="eastAsia" w:ascii="仿宋" w:hAnsi="仿宋" w:eastAsia="仿宋" w:cs="仿宋"/>
          <w:sz w:val="24"/>
        </w:rPr>
        <w:t>3.1熟悉和理解比选文件和停止评审。</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3.1.1评审委员会正式评审前，应当对比选文件进行熟悉和理解，内容主要包括比选文件中供应商资格条件要求、采购项目技术、服务和商务要求、评审方法和标准以及可能涉及签订政府采购合同的内容等。</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3.1.2评审委员会熟悉和理解比选文件以及评审过程中，发现本比选文件有下列情形之一的，评审委员会应当停止评审：</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（1）采购项目属于国家规定的优先、强制采购范围，但是比选文件未依法体现优先、强制采购相关规定的；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（2）比选文件有违反国家其他有关强制性规定的情形。</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3.1.3出现本条3.1.2规定应当停止评审情形的，评审委员会成员应当向比选人说明情况。除本条规定和评审委员会无法依法组建的情形外，评审委员会成员不得以任何方式和理由停止评审。</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3.2资格性检查。</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评审委员会应依据法律法规和本比选文件的规定，对响应文件是否按照规定要求提供资格性证明材料、是否按照规定交纳比选保证金、是否属于禁止参加比选的供应商等进行审查，以确定供应商是否具备比选资格。</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3.3符合性检查。</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3.3.1评审委员会依据本比选文件的实质性要求，对符合资格的响应文件进行审查，以确定其是否满足本比选文件的实质性要求。本项目符合性审查事项仅限于本比选文件的明确规定。响应文件是否满足比选文件的实质性要求，必须以本比选文件的明确规定作为依据，否则，不能对响应文件作为无效处理，评审委员会不得臆测符合性审查事项。</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3.3.2响应文件有下列情形的，本项目不作为实质性要求进行规定，即不作为符合性审查事项，不得作为无效比选文件处理：</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（一）正副本数量齐全、密封完好，只是未按照比选文件要求进行分装或者统装的；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（二）存在个别地方（不超过2个）没有法定代表人签字，但有法定代表人的私人印章或者有效授权代理人签字的；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（三）除比选文件明确要求加盖单位(法人)公章的以外，其他地方以相关专用章加盖的；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（四）以骑缝章的形式代替响应文件内容逐页盖章的（但是骑缝章模糊不清，印章名称无法辨认的除外）；</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（五）其他不影响采购项目实质性要求的情形。</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3.3.3除采购法律制度规定的情形外，本项目供应商或者其响应文件有下列情形之一的，作为无效比选文件处理：</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（一）响应文件正副本数量不足的；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（二）响应文件组成明显不符合比选文件的规定要求，影响评审委员会评判的；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（三）响应文件的格式、语言、计量单位、报价货币、知识产权、比选有效期等不符合比选文件的规定，影响评审委员会评判的；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（四）比选报价不符合比选文件规定的价格标底和其他报价规定的；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五）技术应答内容完全或者绝大部分复制比选文件规定要求，且无相关证明材料的（主要适用于专用设备和电子信息化建设采购项目，政府采购工程、政府采购协议供货或定点供应商采购、政府采购的货物属于规格标准统一或者订制产品的除外）；</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（六）技术、服务应答内容没有完全响应比选文件的实质性要求的；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（七）比选文件有明确要求，但响应文件未载明或者载明的采购项目履约时间、方式、数量与比选文件要求不一致的。</w:t>
      </w:r>
    </w:p>
    <w:p>
      <w:pPr>
        <w:pStyle w:val="9"/>
        <w:ind w:firstLine="480" w:firstLineChars="200"/>
        <w:rPr>
          <w:rFonts w:hint="eastAsia" w:ascii="仿宋" w:hAnsi="仿宋" w:eastAsia="仿宋" w:cs="仿宋"/>
        </w:rPr>
      </w:pPr>
      <w:r>
        <w:rPr>
          <w:rFonts w:hint="eastAsia" w:ascii="仿宋" w:hAnsi="仿宋" w:eastAsia="仿宋" w:cs="仿宋"/>
        </w:rPr>
        <w:t>（八）符合专业条件的供应商或者对比选文件作实质响应的供应商不足三家的。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3.4比较与评价。按比选文件中规定的评审方法和标准，对未作无效处理的响应文件进行技术、服务、商务等方面评估，综合比较与评价。</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3.5复核。评分汇总结束后，评审委员会应当进行复核，特别要对拟推荐为中选候选供应商的、报价最低的、响应文件被认定为无效的进行重点复核。</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3.6推荐中选候选供应商。中选候选供应商应当排序。采用最低评</w:t>
      </w:r>
      <w:r>
        <w:rPr>
          <w:rFonts w:hint="eastAsia" w:ascii="仿宋" w:hAnsi="仿宋" w:eastAsia="仿宋" w:cs="仿宋"/>
          <w:sz w:val="24"/>
          <w:lang w:val="en-US" w:eastAsia="zh-CN"/>
        </w:rPr>
        <w:t>标</w:t>
      </w:r>
      <w:r>
        <w:rPr>
          <w:rFonts w:hint="eastAsia" w:ascii="仿宋" w:hAnsi="仿宋" w:eastAsia="仿宋" w:cs="仿宋"/>
          <w:sz w:val="24"/>
        </w:rPr>
        <w:t>价法的，评审结果按报价由低到高顺序排列；报价相同的并列，响应文件满足比选文件全部实质性要求且报价最低的供应商为中选候选供应商；报价相同且满足比选文件全部实质性要求的并列，由比选人自主采取公平、择优的方式选择中选供应商。采用综合评分法的，评审结果按评审后得分由高到低顺序排列；得分相同的，按报价由低到高顺序排列；得分且报价相同的并列，响应文件满足比选文件全部实质性要求且按照评审因素的量化指标评审得分最高的供应商为中选候选供应商；报价相同且满足比选文件全部实质性要求且按照评审因素的量化指标评审得分也相同的并列，由比选人自主采取公平、择优的方式选择中选供应商。</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评审委员会可推荐的中选候选供应商数量不能满足比选文件规定的数量的，只有在获得比选人书面同意后，可以根据实际情况推荐中选候选供应商。未获得比选人的书面同意,评审委员会不得在比选文件规定之外推荐中选候选供应商，否则，比选人可以不予认可。</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3.7出具评审报告。评审委员会推荐中选候选供应商后，应当向招标采购单位出具评审报告。评审报告应当包括下列内容：</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（一）比选公告刊登的媒体名称、比选日期和地点；</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（二）获取比选文件的供应商名单和评审委员会成员名单；</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（三）评审方法和标准；</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（四）比选记录和评审情况及说明，包括无效供应商名单及原因；</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（五）评审结果和中选候选供应商排序表；</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（六）评审委员会授标建议；</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评审委员会成员应当在评审报告中签字确认，对评审过程和结果有不同意见的，应当在评审报告中写明并说明理由。签字但未写明不同意见或者未说明理由的，视同无意见。拒不签字又未另行书面说明其不同意见和理由的，视同同意评审结果。</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3.8评审争议处理规则。评审委员会在评审过程中，对于资格性审查、符合性审查、对响应文件做无效处理及其他需要共同认定的事项存在争议的，应当以少数服从多数的原则做出结论，但不得违背法律法规和比选文件规定。有不同意见的评审委员会成员认为认定过程和结果不符合法律法规或者比选文件规定的，应当及时向比选人书面反映。</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3.9供应商应当书面澄清、说明或者更正。</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3.9.1在评审过程中，响应文件实质性符合比选文件要求的前提下，评审委员会对响应文件中含义不明确、同类问题表述不一致或者有明显文字和计算错误的内容，应当以书面形式（须由评审委员会全体成员签字）要求供应商作出必要的书面澄清、说明或者更正，并给予供应商必要的反馈时间。</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响应文件的效力，有效的澄清、说明或者更正材料，是响应文件的组成部分。</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3.9.3评审委员会要求供应商澄清、说明或者更正，不得超出比选文件的范围，不得以此让供应商实质改变响应文件的内容，不得影响公平竞争。</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3.9.4本项目采购过程中，响应文件出现下列情况的，不需要供应商澄清、说明或者更正，按照以下原则处理：</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（一）响应文件的大写金额和小写金额不一致的，以大写金额为准，但大写金额出现文字错误，导致金额无法判断的除外；</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（二）总价金额与按单价汇总金额不一致的，以单价汇总金额计算结果为准，但是单价金额出现计算错误、明显人为工作失误的除外；</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（三）单价金额小数点有明显错位的，应以总价为准，并修改单价；</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（四）对不同语言文本响应文件的解释发生异议的，以中文文本为准。</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出现本条第（二）项规定情形，单价汇总金额比总价金额高，且超过采购预算或者本项目最高限价的，响应文件应作为无效处理；单价汇总金额比总价金额高，但未超过采购预算或者本项目最高限价的，应以单价汇总金额作为价格评分依据。</w:t>
      </w:r>
    </w:p>
    <w:p>
      <w:pPr>
        <w:spacing w:line="400" w:lineRule="exact"/>
        <w:ind w:firstLine="482" w:firstLineChars="200"/>
        <w:rPr>
          <w:rFonts w:hint="eastAsia" w:ascii="仿宋" w:hAnsi="仿宋" w:eastAsia="仿宋" w:cs="仿宋"/>
          <w:b/>
          <w:sz w:val="24"/>
        </w:rPr>
      </w:pPr>
      <w:r>
        <w:rPr>
          <w:rFonts w:hint="eastAsia" w:ascii="仿宋" w:hAnsi="仿宋" w:eastAsia="仿宋" w:cs="仿宋"/>
          <w:b/>
          <w:sz w:val="24"/>
        </w:rPr>
        <w:t>注：评审委员会当积极履行澄清、说明或者更正的职责，不得滥用权力。供应商的投标文件可以要求澄清、说明或者更正的，不得未经澄清、说明或者更正而直接作无效投标处理。</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3.10低于成本价报价处理。在评审过程中，供应商报价低于采购预算50%或者低于其他有效供应商报价算术平均价40%，有可能影响产品质量或者不能诚信履约的，评审委员会应当要求其在评审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供应商提供书面说明后，评审委员会应当结合采购项目采购需求、专业实际情况、供应商财务状况报告、与其他供应商比较情况等就供应商书面说明进行审查评价。供应商拒绝或者变相拒绝提供有效书面说明或者书面说明不能证明其报价合理性的，评审委员会应当将其响应文件、响应文件作为无效处理。</w:t>
      </w:r>
    </w:p>
    <w:bookmarkEnd w:id="77"/>
    <w:p>
      <w:pPr>
        <w:rPr>
          <w:rFonts w:hint="eastAsia"/>
        </w:rPr>
      </w:pPr>
    </w:p>
    <w:p>
      <w:pPr>
        <w:pStyle w:val="2"/>
        <w:rPr>
          <w:rFonts w:hint="eastAsia"/>
        </w:rPr>
      </w:pPr>
    </w:p>
    <w:p>
      <w:pPr>
        <w:pStyle w:val="4"/>
        <w:snapToGrid w:val="0"/>
        <w:spacing w:beforeLines="100" w:afterLines="100" w:line="240" w:lineRule="auto"/>
        <w:jc w:val="center"/>
        <w:rPr>
          <w:rFonts w:hint="eastAsia" w:ascii="仿宋" w:hAnsi="仿宋" w:eastAsia="仿宋" w:cs="仿宋"/>
          <w:sz w:val="32"/>
          <w:szCs w:val="32"/>
        </w:rPr>
      </w:pPr>
      <w:bookmarkStart w:id="78" w:name="_Toc477957547"/>
      <w:bookmarkStart w:id="79" w:name="_Toc477957397"/>
    </w:p>
    <w:p>
      <w:pPr>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rPr>
      </w:pPr>
    </w:p>
    <w:p>
      <w:pPr>
        <w:pStyle w:val="4"/>
        <w:snapToGrid w:val="0"/>
        <w:spacing w:beforeLines="100" w:afterLines="100" w:line="240" w:lineRule="auto"/>
        <w:jc w:val="center"/>
        <w:rPr>
          <w:rFonts w:hint="eastAsia" w:ascii="仿宋" w:hAnsi="仿宋" w:eastAsia="仿宋" w:cs="仿宋"/>
          <w:sz w:val="32"/>
          <w:szCs w:val="32"/>
        </w:rPr>
      </w:pPr>
      <w:r>
        <w:rPr>
          <w:rFonts w:hint="eastAsia" w:ascii="仿宋" w:hAnsi="仿宋" w:eastAsia="仿宋" w:cs="仿宋"/>
          <w:sz w:val="32"/>
          <w:szCs w:val="32"/>
        </w:rPr>
        <w:t xml:space="preserve">第八章  </w:t>
      </w:r>
      <w:bookmarkEnd w:id="78"/>
      <w:bookmarkEnd w:id="79"/>
      <w:r>
        <w:rPr>
          <w:rFonts w:hint="eastAsia" w:ascii="仿宋" w:hAnsi="仿宋" w:eastAsia="仿宋" w:cs="仿宋"/>
          <w:sz w:val="32"/>
          <w:szCs w:val="32"/>
        </w:rPr>
        <w:t>采购合同（样例）</w:t>
      </w:r>
    </w:p>
    <w:p>
      <w:pPr>
        <w:snapToGrid w:val="0"/>
        <w:spacing w:line="360" w:lineRule="auto"/>
        <w:ind w:firstLine="420" w:firstLineChars="200"/>
        <w:rPr>
          <w:rFonts w:ascii="仿宋" w:hAnsi="仿宋" w:eastAsia="仿宋" w:cs="仿宋"/>
          <w:color w:val="auto"/>
        </w:rPr>
      </w:pPr>
      <w:r>
        <w:rPr>
          <w:rFonts w:hint="eastAsia" w:ascii="仿宋" w:hAnsi="仿宋" w:eastAsia="仿宋" w:cs="仿宋"/>
          <w:color w:val="auto"/>
        </w:rPr>
        <w:t>合同编号：XXXX。</w:t>
      </w:r>
    </w:p>
    <w:p>
      <w:pPr>
        <w:snapToGrid w:val="0"/>
        <w:spacing w:line="360" w:lineRule="auto"/>
        <w:ind w:firstLine="420" w:firstLineChars="200"/>
        <w:rPr>
          <w:rFonts w:ascii="仿宋" w:hAnsi="仿宋" w:eastAsia="仿宋" w:cs="仿宋"/>
          <w:color w:val="auto"/>
        </w:rPr>
      </w:pPr>
      <w:r>
        <w:rPr>
          <w:rFonts w:hint="eastAsia" w:ascii="仿宋" w:hAnsi="仿宋" w:eastAsia="仿宋" w:cs="仿宋"/>
          <w:color w:val="auto"/>
        </w:rPr>
        <w:t>签订地点：XXXX。</w:t>
      </w:r>
    </w:p>
    <w:p>
      <w:pPr>
        <w:snapToGrid w:val="0"/>
        <w:spacing w:line="360" w:lineRule="auto"/>
        <w:ind w:firstLine="420" w:firstLineChars="200"/>
        <w:rPr>
          <w:rFonts w:ascii="仿宋" w:hAnsi="仿宋" w:eastAsia="仿宋" w:cs="仿宋"/>
          <w:color w:val="auto"/>
        </w:rPr>
      </w:pPr>
      <w:r>
        <w:rPr>
          <w:rFonts w:hint="eastAsia" w:ascii="仿宋" w:hAnsi="仿宋" w:eastAsia="仿宋" w:cs="仿宋"/>
          <w:color w:val="auto"/>
        </w:rPr>
        <w:t>签订时间：XXXX年XX月XX日。</w:t>
      </w:r>
    </w:p>
    <w:p>
      <w:pPr>
        <w:snapToGrid w:val="0"/>
        <w:spacing w:line="360" w:lineRule="auto"/>
        <w:ind w:firstLine="420" w:firstLineChars="200"/>
        <w:rPr>
          <w:rFonts w:ascii="仿宋" w:hAnsi="仿宋" w:eastAsia="仿宋" w:cs="仿宋"/>
          <w:color w:val="auto"/>
        </w:rPr>
      </w:pPr>
      <w:r>
        <w:rPr>
          <w:rFonts w:hint="eastAsia" w:ascii="仿宋" w:hAnsi="仿宋" w:eastAsia="仿宋" w:cs="仿宋"/>
          <w:color w:val="auto"/>
        </w:rPr>
        <w:t>采购人（甲方）：</w:t>
      </w:r>
    </w:p>
    <w:p>
      <w:pPr>
        <w:snapToGrid w:val="0"/>
        <w:spacing w:line="360" w:lineRule="auto"/>
        <w:ind w:firstLine="420" w:firstLineChars="200"/>
        <w:rPr>
          <w:rFonts w:ascii="仿宋" w:hAnsi="仿宋" w:eastAsia="仿宋" w:cs="仿宋"/>
          <w:color w:val="auto"/>
        </w:rPr>
      </w:pPr>
      <w:r>
        <w:rPr>
          <w:rFonts w:hint="eastAsia" w:ascii="仿宋" w:hAnsi="仿宋" w:eastAsia="仿宋" w:cs="仿宋"/>
          <w:color w:val="auto"/>
        </w:rPr>
        <w:t>供应商（乙方）：</w:t>
      </w:r>
    </w:p>
    <w:p>
      <w:pPr>
        <w:snapToGrid w:val="0"/>
        <w:spacing w:line="360" w:lineRule="auto"/>
        <w:rPr>
          <w:rFonts w:ascii="仿宋" w:hAnsi="仿宋" w:eastAsia="仿宋" w:cs="仿宋"/>
          <w:color w:val="auto"/>
        </w:rPr>
      </w:pP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依据《中华人民共和国合同法》、《中华人民共和国政府采购法》与项目行业有关的法律法规，以及XXXX项目（项目编号：XXXX）的</w:t>
      </w:r>
      <w:r>
        <w:rPr>
          <w:rFonts w:hint="eastAsia" w:ascii="仿宋" w:hAnsi="仿宋" w:eastAsia="仿宋" w:cs="仿宋"/>
          <w:color w:val="auto"/>
          <w:sz w:val="24"/>
          <w:lang w:eastAsia="zh-CN"/>
        </w:rPr>
        <w:t>比选</w:t>
      </w:r>
      <w:r>
        <w:rPr>
          <w:rFonts w:hint="eastAsia" w:ascii="仿宋" w:hAnsi="仿宋" w:eastAsia="仿宋" w:cs="仿宋"/>
          <w:color w:val="auto"/>
          <w:sz w:val="24"/>
        </w:rPr>
        <w:t>文件，乙方的响应文件及</w:t>
      </w:r>
      <w:r>
        <w:rPr>
          <w:rFonts w:hint="eastAsia" w:ascii="仿宋" w:hAnsi="仿宋" w:eastAsia="仿宋" w:cs="仿宋"/>
          <w:color w:val="auto"/>
          <w:sz w:val="24"/>
          <w:lang w:eastAsia="zh-CN"/>
        </w:rPr>
        <w:t>中选</w:t>
      </w:r>
      <w:r>
        <w:rPr>
          <w:rFonts w:hint="eastAsia" w:ascii="仿宋" w:hAnsi="仿宋" w:eastAsia="仿宋" w:cs="仿宋"/>
          <w:color w:val="auto"/>
          <w:sz w:val="24"/>
        </w:rPr>
        <w:t>通知书，甲、乙双方同意签订本合同。详细技术说明及其他有关合同项目的特定信息由合同附件予以说明，合同附件及本项目的</w:t>
      </w:r>
      <w:r>
        <w:rPr>
          <w:rFonts w:hint="eastAsia" w:ascii="仿宋" w:hAnsi="仿宋" w:eastAsia="仿宋" w:cs="仿宋"/>
          <w:color w:val="auto"/>
          <w:sz w:val="24"/>
          <w:lang w:val="en-US" w:eastAsia="zh-CN"/>
        </w:rPr>
        <w:t>比选</w:t>
      </w:r>
      <w:r>
        <w:rPr>
          <w:rFonts w:hint="eastAsia" w:ascii="仿宋" w:hAnsi="仿宋" w:eastAsia="仿宋" w:cs="仿宋"/>
          <w:color w:val="auto"/>
          <w:sz w:val="24"/>
        </w:rPr>
        <w:t>文件、响应文件、</w:t>
      </w:r>
      <w:r>
        <w:rPr>
          <w:rFonts w:hint="eastAsia" w:ascii="仿宋" w:hAnsi="仿宋" w:eastAsia="仿宋" w:cs="仿宋"/>
          <w:color w:val="auto"/>
          <w:sz w:val="24"/>
          <w:lang w:eastAsia="zh-CN"/>
        </w:rPr>
        <w:t>中选</w:t>
      </w:r>
      <w:r>
        <w:rPr>
          <w:rFonts w:hint="eastAsia" w:ascii="仿宋" w:hAnsi="仿宋" w:eastAsia="仿宋" w:cs="仿宋"/>
          <w:color w:val="auto"/>
          <w:sz w:val="24"/>
        </w:rPr>
        <w:t>通知书等均为本合同的组成部分。</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第一条</w:t>
      </w:r>
      <w:r>
        <w:rPr>
          <w:rFonts w:hint="eastAsia" w:ascii="仿宋" w:hAnsi="仿宋" w:eastAsia="仿宋" w:cs="仿宋"/>
          <w:color w:val="auto"/>
          <w:sz w:val="24"/>
        </w:rPr>
        <w:tab/>
      </w:r>
      <w:r>
        <w:rPr>
          <w:rFonts w:hint="eastAsia" w:ascii="仿宋" w:hAnsi="仿宋" w:eastAsia="仿宋" w:cs="仿宋"/>
          <w:color w:val="auto"/>
          <w:sz w:val="24"/>
        </w:rPr>
        <w:t>项目基本情况</w:t>
      </w:r>
    </w:p>
    <w:p>
      <w:pPr>
        <w:pStyle w:val="7"/>
        <w:snapToGrid w:val="0"/>
        <w:spacing w:line="360" w:lineRule="auto"/>
        <w:ind w:firstLine="420" w:firstLineChars="175"/>
        <w:rPr>
          <w:rFonts w:ascii="仿宋" w:hAnsi="仿宋" w:eastAsia="仿宋" w:cs="仿宋"/>
          <w:color w:val="auto"/>
          <w:sz w:val="24"/>
        </w:rPr>
      </w:pP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第二条</w:t>
      </w:r>
      <w:r>
        <w:rPr>
          <w:rFonts w:hint="eastAsia" w:ascii="仿宋" w:hAnsi="仿宋" w:eastAsia="仿宋" w:cs="仿宋"/>
          <w:color w:val="auto"/>
          <w:sz w:val="24"/>
        </w:rPr>
        <w:tab/>
      </w:r>
      <w:r>
        <w:rPr>
          <w:rFonts w:hint="eastAsia" w:ascii="仿宋" w:hAnsi="仿宋" w:eastAsia="仿宋" w:cs="仿宋"/>
          <w:color w:val="auto"/>
          <w:sz w:val="24"/>
        </w:rPr>
        <w:t>合同期限</w:t>
      </w:r>
    </w:p>
    <w:p>
      <w:pPr>
        <w:pStyle w:val="7"/>
        <w:snapToGrid w:val="0"/>
        <w:spacing w:line="360" w:lineRule="auto"/>
        <w:ind w:firstLine="420" w:firstLineChars="175"/>
        <w:rPr>
          <w:rFonts w:ascii="仿宋" w:hAnsi="仿宋" w:eastAsia="仿宋" w:cs="仿宋"/>
          <w:color w:val="auto"/>
          <w:sz w:val="24"/>
        </w:rPr>
      </w:pP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第三条</w:t>
      </w:r>
      <w:r>
        <w:rPr>
          <w:rFonts w:hint="eastAsia" w:ascii="仿宋" w:hAnsi="仿宋" w:eastAsia="仿宋" w:cs="仿宋"/>
          <w:color w:val="auto"/>
          <w:sz w:val="24"/>
        </w:rPr>
        <w:tab/>
      </w:r>
      <w:r>
        <w:rPr>
          <w:rFonts w:hint="eastAsia" w:ascii="仿宋" w:hAnsi="仿宋" w:eastAsia="仿宋" w:cs="仿宋"/>
          <w:color w:val="auto"/>
          <w:sz w:val="24"/>
        </w:rPr>
        <w:t>服务内容与质量标准</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1、XXXX；</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2、XXXX；</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3、XXXX．</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第四条</w:t>
      </w:r>
      <w:r>
        <w:rPr>
          <w:rFonts w:hint="eastAsia" w:ascii="仿宋" w:hAnsi="仿宋" w:eastAsia="仿宋" w:cs="仿宋"/>
          <w:color w:val="auto"/>
          <w:sz w:val="24"/>
        </w:rPr>
        <w:tab/>
      </w:r>
      <w:r>
        <w:rPr>
          <w:rFonts w:hint="eastAsia" w:ascii="仿宋" w:hAnsi="仿宋" w:eastAsia="仿宋" w:cs="仿宋"/>
          <w:color w:val="auto"/>
          <w:sz w:val="24"/>
        </w:rPr>
        <w:t>服务费用及支付方式</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(一)本项目服务费用由以下组成：</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1、XX万元；</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2、XX万元；</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3、XX万元。</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 xml:space="preserve">(二)服务费支付方式： </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第五条</w:t>
      </w:r>
      <w:r>
        <w:rPr>
          <w:rFonts w:hint="eastAsia" w:ascii="仿宋" w:hAnsi="仿宋" w:eastAsia="仿宋" w:cs="仿宋"/>
          <w:color w:val="auto"/>
          <w:sz w:val="24"/>
        </w:rPr>
        <w:tab/>
      </w:r>
      <w:r>
        <w:rPr>
          <w:rFonts w:hint="eastAsia" w:ascii="仿宋" w:hAnsi="仿宋" w:eastAsia="仿宋" w:cs="仿宋"/>
          <w:color w:val="auto"/>
          <w:sz w:val="24"/>
        </w:rPr>
        <w:t>知识产权</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乙方应保证所提供的服务或其任何一部分均不会侵犯任何第三方的专利权、商标权或著作权。</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第六条</w:t>
      </w:r>
      <w:r>
        <w:rPr>
          <w:rFonts w:hint="eastAsia" w:ascii="仿宋" w:hAnsi="仿宋" w:eastAsia="仿宋" w:cs="仿宋"/>
          <w:color w:val="auto"/>
          <w:sz w:val="24"/>
        </w:rPr>
        <w:tab/>
      </w:r>
      <w:r>
        <w:rPr>
          <w:rFonts w:hint="eastAsia" w:ascii="仿宋" w:hAnsi="仿宋" w:eastAsia="仿宋" w:cs="仿宋"/>
          <w:color w:val="auto"/>
          <w:sz w:val="24"/>
        </w:rPr>
        <w:t>无产权瑕疵条款</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乙方保证所提供的服务的所有权完全属于乙方且无任何抵押、查封等产权瑕疵。如有产权瑕疵的，视为乙方违约。乙方应负担由此而产生的一切损失。</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第七条</w:t>
      </w:r>
      <w:r>
        <w:rPr>
          <w:rFonts w:hint="eastAsia" w:ascii="仿宋" w:hAnsi="仿宋" w:eastAsia="仿宋" w:cs="仿宋"/>
          <w:color w:val="auto"/>
          <w:sz w:val="24"/>
        </w:rPr>
        <w:tab/>
      </w:r>
      <w:r>
        <w:rPr>
          <w:rFonts w:hint="eastAsia" w:ascii="仿宋" w:hAnsi="仿宋" w:eastAsia="仿宋" w:cs="仿宋"/>
          <w:color w:val="auto"/>
          <w:sz w:val="24"/>
        </w:rPr>
        <w:t>履约保证金</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1、乙方交纳人民币XX元作为本合同的履约保证金。</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2、履约保证金作为违约金的一部分及用于补偿甲方因乙方不能履行合同义务而蒙受的损失。</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第八条</w:t>
      </w:r>
      <w:r>
        <w:rPr>
          <w:rFonts w:hint="eastAsia" w:ascii="仿宋" w:hAnsi="仿宋" w:eastAsia="仿宋" w:cs="仿宋"/>
          <w:color w:val="auto"/>
          <w:sz w:val="24"/>
        </w:rPr>
        <w:tab/>
      </w:r>
      <w:r>
        <w:rPr>
          <w:rFonts w:hint="eastAsia" w:ascii="仿宋" w:hAnsi="仿宋" w:eastAsia="仿宋" w:cs="仿宋"/>
          <w:color w:val="auto"/>
          <w:sz w:val="24"/>
        </w:rPr>
        <w:t>甲方的权利和义务</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1、甲方有权对合同规定范围内乙方的服务行为进行监督和检查，拥有监管权。有权定期核对乙方提供服务所配备的人员数量。对甲方认为不合理的部分有权下达整改通知书，并要求乙方限期整改。</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2、甲方有权依据双方签订的考评办法对乙方提供的服务进行定期考评。当考评结果未达到标准时，有权依据考评办法约定的数额扣除履约保证金。</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3、负责检查监督乙方管理工作的实施及制度的执行情况。</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4、根据本合同规定，按时向乙方支付应付服务费用。</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5、国家法律、法规所规定由甲方承担的其它责任。</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第九条</w:t>
      </w:r>
      <w:r>
        <w:rPr>
          <w:rFonts w:hint="eastAsia" w:ascii="仿宋" w:hAnsi="仿宋" w:eastAsia="仿宋" w:cs="仿宋"/>
          <w:color w:val="auto"/>
          <w:sz w:val="24"/>
        </w:rPr>
        <w:tab/>
      </w:r>
      <w:r>
        <w:rPr>
          <w:rFonts w:hint="eastAsia" w:ascii="仿宋" w:hAnsi="仿宋" w:eastAsia="仿宋" w:cs="仿宋"/>
          <w:color w:val="auto"/>
          <w:sz w:val="24"/>
        </w:rPr>
        <w:t>乙方的权利和义务</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1、对本合同规定的委托服务范围内的项目享有管理权及服务义务。</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2、根据本合同的规定向甲方收取相关服务费用，并有权在本项目管理范围内管理及合理使用。</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3、及时向甲方通告本项目服务范围内有关服务的重大事项，及时配合处理投诉。</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4、接受项目行业管理部门及政府有关部门的指导，接受甲方的监督。</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5、国家法律、法规所规定由乙方承担的其它责任。</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第十条</w:t>
      </w:r>
      <w:r>
        <w:rPr>
          <w:rFonts w:hint="eastAsia" w:ascii="仿宋" w:hAnsi="仿宋" w:eastAsia="仿宋" w:cs="仿宋"/>
          <w:color w:val="auto"/>
          <w:sz w:val="24"/>
        </w:rPr>
        <w:tab/>
      </w:r>
      <w:r>
        <w:rPr>
          <w:rFonts w:hint="eastAsia" w:ascii="仿宋" w:hAnsi="仿宋" w:eastAsia="仿宋" w:cs="仿宋"/>
          <w:color w:val="auto"/>
          <w:sz w:val="24"/>
        </w:rPr>
        <w:t>违约责任</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1、甲乙双方必须遵守本合同并执行合同中的各项规定，保证本合同的正常履行。</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第十一条</w:t>
      </w:r>
      <w:r>
        <w:rPr>
          <w:rFonts w:hint="eastAsia" w:ascii="仿宋" w:hAnsi="仿宋" w:eastAsia="仿宋" w:cs="仿宋"/>
          <w:color w:val="auto"/>
          <w:sz w:val="24"/>
        </w:rPr>
        <w:tab/>
      </w:r>
      <w:r>
        <w:rPr>
          <w:rFonts w:hint="eastAsia" w:ascii="仿宋" w:hAnsi="仿宋" w:eastAsia="仿宋" w:cs="仿宋"/>
          <w:color w:val="auto"/>
          <w:sz w:val="24"/>
        </w:rPr>
        <w:t>不可抗力事件处理</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1、在合同有效期内，任何一方因不可抗力事件导致不能履行合同，则合同履行期可延长，其延长期与不可抗力影响期相同。</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2、不可抗力事件发生后，应立即通知对方，并寄送有关权威机构出具的证明。</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3、不可抗力事件延续XX天以上，双方应通过友好协商，确定是否继续履行合同。</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第十二条</w:t>
      </w:r>
      <w:r>
        <w:rPr>
          <w:rFonts w:hint="eastAsia" w:ascii="仿宋" w:hAnsi="仿宋" w:eastAsia="仿宋" w:cs="仿宋"/>
          <w:color w:val="auto"/>
          <w:sz w:val="24"/>
        </w:rPr>
        <w:tab/>
      </w:r>
      <w:r>
        <w:rPr>
          <w:rFonts w:hint="eastAsia" w:ascii="仿宋" w:hAnsi="仿宋" w:eastAsia="仿宋" w:cs="仿宋"/>
          <w:color w:val="auto"/>
          <w:sz w:val="24"/>
        </w:rPr>
        <w:t>解决合同纠纷的方式</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1、在执行本合同中发生的或与本合同有关的争端，双方应通过友好协商解决，经协商在XX天内不能达成协议时，应提交成都仲裁委员会仲裁。</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2、仲裁裁决应为最终决定，并对双方具有约束力。</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 xml:space="preserve">3、除另有裁决外，仲裁费应由败诉方负担。 </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 xml:space="preserve">4、在仲裁期间，除正在进行仲裁部分外，合同其他部分继续执行。  </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第十三条</w:t>
      </w:r>
      <w:r>
        <w:rPr>
          <w:rFonts w:hint="eastAsia" w:ascii="仿宋" w:hAnsi="仿宋" w:eastAsia="仿宋" w:cs="仿宋"/>
          <w:color w:val="auto"/>
          <w:sz w:val="24"/>
        </w:rPr>
        <w:tab/>
      </w:r>
      <w:r>
        <w:rPr>
          <w:rFonts w:hint="eastAsia" w:ascii="仿宋" w:hAnsi="仿宋" w:eastAsia="仿宋" w:cs="仿宋"/>
          <w:color w:val="auto"/>
          <w:sz w:val="24"/>
        </w:rPr>
        <w:t>合同生效及其他</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1、合同经双方法定责任人或授权委托代理人签字并加盖单位公章后生效。</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2、合同执行中涉及采购资金和采购内容修改或补充的，须经政府采购监管部门审批，并签书面补充协议报政府采购监督管理部门备案，方可作为主合同不可分割的一部分。</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3、本合同一式XX份，自双方签章之日起起效。甲方XX份，乙方XX份，政府采购代理机构XX份，同级财政部门备案XX份，具有同等法律效力。</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第十四条</w:t>
      </w:r>
      <w:r>
        <w:rPr>
          <w:rFonts w:hint="eastAsia" w:ascii="仿宋" w:hAnsi="仿宋" w:eastAsia="仿宋" w:cs="仿宋"/>
          <w:color w:val="auto"/>
          <w:sz w:val="24"/>
        </w:rPr>
        <w:tab/>
      </w:r>
      <w:r>
        <w:rPr>
          <w:rFonts w:hint="eastAsia" w:ascii="仿宋" w:hAnsi="仿宋" w:eastAsia="仿宋" w:cs="仿宋"/>
          <w:color w:val="auto"/>
          <w:sz w:val="24"/>
        </w:rPr>
        <w:t>附件</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1、项目</w:t>
      </w:r>
      <w:r>
        <w:rPr>
          <w:rFonts w:hint="eastAsia" w:ascii="仿宋" w:hAnsi="仿宋" w:eastAsia="仿宋" w:cs="仿宋"/>
          <w:color w:val="auto"/>
          <w:sz w:val="24"/>
          <w:lang w:eastAsia="zh-CN"/>
        </w:rPr>
        <w:t>比选</w:t>
      </w:r>
      <w:r>
        <w:rPr>
          <w:rFonts w:hint="eastAsia" w:ascii="仿宋" w:hAnsi="仿宋" w:eastAsia="仿宋" w:cs="仿宋"/>
          <w:color w:val="auto"/>
          <w:sz w:val="24"/>
        </w:rPr>
        <w:t>文件</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2、项目修改澄清文件</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3、项目响应文件</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4、</w:t>
      </w:r>
      <w:r>
        <w:rPr>
          <w:rFonts w:hint="eastAsia" w:ascii="仿宋" w:hAnsi="仿宋" w:eastAsia="仿宋" w:cs="仿宋"/>
          <w:color w:val="auto"/>
          <w:sz w:val="24"/>
          <w:lang w:eastAsia="zh-CN"/>
        </w:rPr>
        <w:t>中选</w:t>
      </w:r>
      <w:r>
        <w:rPr>
          <w:rFonts w:hint="eastAsia" w:ascii="仿宋" w:hAnsi="仿宋" w:eastAsia="仿宋" w:cs="仿宋"/>
          <w:color w:val="auto"/>
          <w:sz w:val="24"/>
        </w:rPr>
        <w:t>通知书</w:t>
      </w:r>
    </w:p>
    <w:p>
      <w:pPr>
        <w:pStyle w:val="7"/>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5、其他</w:t>
      </w:r>
    </w:p>
    <w:p>
      <w:pPr>
        <w:pStyle w:val="7"/>
        <w:snapToGrid w:val="0"/>
        <w:spacing w:line="360" w:lineRule="auto"/>
        <w:ind w:firstLine="420" w:firstLineChars="175"/>
        <w:rPr>
          <w:rFonts w:ascii="仿宋" w:hAnsi="仿宋" w:eastAsia="仿宋" w:cs="仿宋"/>
          <w:color w:val="auto"/>
          <w:sz w:val="24"/>
        </w:rPr>
      </w:pPr>
    </w:p>
    <w:p>
      <w:pPr>
        <w:pStyle w:val="7"/>
        <w:tabs>
          <w:tab w:val="left" w:pos="4536"/>
        </w:tabs>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甲方：（盖章）</w:t>
      </w:r>
      <w:r>
        <w:rPr>
          <w:rFonts w:hint="eastAsia" w:ascii="仿宋" w:hAnsi="仿宋" w:eastAsia="仿宋" w:cs="仿宋"/>
          <w:color w:val="auto"/>
          <w:sz w:val="24"/>
        </w:rPr>
        <w:tab/>
      </w:r>
      <w:r>
        <w:rPr>
          <w:rFonts w:hint="eastAsia" w:ascii="仿宋" w:hAnsi="仿宋" w:eastAsia="仿宋" w:cs="仿宋"/>
          <w:color w:val="auto"/>
          <w:sz w:val="24"/>
        </w:rPr>
        <w:t>乙方：（盖章）</w:t>
      </w:r>
    </w:p>
    <w:p>
      <w:pPr>
        <w:pStyle w:val="7"/>
        <w:tabs>
          <w:tab w:val="left" w:pos="4536"/>
        </w:tabs>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法定责任人（或代理人）：</w:t>
      </w:r>
      <w:r>
        <w:rPr>
          <w:rFonts w:hint="eastAsia" w:ascii="仿宋" w:hAnsi="仿宋" w:eastAsia="仿宋" w:cs="仿宋"/>
          <w:color w:val="auto"/>
          <w:sz w:val="24"/>
        </w:rPr>
        <w:tab/>
      </w:r>
      <w:r>
        <w:rPr>
          <w:rFonts w:hint="eastAsia" w:ascii="仿宋" w:hAnsi="仿宋" w:eastAsia="仿宋" w:cs="仿宋"/>
          <w:color w:val="auto"/>
          <w:sz w:val="24"/>
        </w:rPr>
        <w:t>法定责任人（或代理人）：</w:t>
      </w:r>
    </w:p>
    <w:p>
      <w:pPr>
        <w:pStyle w:val="7"/>
        <w:tabs>
          <w:tab w:val="left" w:pos="4536"/>
        </w:tabs>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rPr>
        <w:tab/>
      </w:r>
      <w:r>
        <w:rPr>
          <w:rFonts w:hint="eastAsia" w:ascii="仿宋" w:hAnsi="仿宋" w:eastAsia="仿宋" w:cs="仿宋"/>
          <w:color w:val="auto"/>
          <w:sz w:val="24"/>
        </w:rPr>
        <w:t>地址：</w:t>
      </w:r>
    </w:p>
    <w:p>
      <w:pPr>
        <w:pStyle w:val="7"/>
        <w:tabs>
          <w:tab w:val="left" w:pos="4536"/>
        </w:tabs>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开户银行：</w:t>
      </w:r>
      <w:r>
        <w:rPr>
          <w:rFonts w:hint="eastAsia" w:ascii="仿宋" w:hAnsi="仿宋" w:eastAsia="仿宋" w:cs="仿宋"/>
          <w:color w:val="auto"/>
          <w:sz w:val="24"/>
        </w:rPr>
        <w:tab/>
      </w:r>
      <w:r>
        <w:rPr>
          <w:rFonts w:hint="eastAsia" w:ascii="仿宋" w:hAnsi="仿宋" w:eastAsia="仿宋" w:cs="仿宋"/>
          <w:color w:val="auto"/>
          <w:sz w:val="24"/>
        </w:rPr>
        <w:t>开户银行：</w:t>
      </w:r>
    </w:p>
    <w:p>
      <w:pPr>
        <w:pStyle w:val="7"/>
        <w:tabs>
          <w:tab w:val="left" w:pos="4536"/>
        </w:tabs>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账号：</w:t>
      </w:r>
      <w:r>
        <w:rPr>
          <w:rFonts w:hint="eastAsia" w:ascii="仿宋" w:hAnsi="仿宋" w:eastAsia="仿宋" w:cs="仿宋"/>
          <w:color w:val="auto"/>
          <w:sz w:val="24"/>
        </w:rPr>
        <w:tab/>
      </w:r>
      <w:r>
        <w:rPr>
          <w:rFonts w:hint="eastAsia" w:ascii="仿宋" w:hAnsi="仿宋" w:eastAsia="仿宋" w:cs="仿宋"/>
          <w:color w:val="auto"/>
          <w:sz w:val="24"/>
        </w:rPr>
        <w:t>账号：</w:t>
      </w:r>
    </w:p>
    <w:p>
      <w:pPr>
        <w:pStyle w:val="7"/>
        <w:tabs>
          <w:tab w:val="left" w:pos="4536"/>
        </w:tabs>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电话：</w:t>
      </w:r>
      <w:r>
        <w:rPr>
          <w:rFonts w:hint="eastAsia" w:ascii="仿宋" w:hAnsi="仿宋" w:eastAsia="仿宋" w:cs="仿宋"/>
          <w:color w:val="auto"/>
          <w:sz w:val="24"/>
        </w:rPr>
        <w:tab/>
      </w:r>
      <w:r>
        <w:rPr>
          <w:rFonts w:hint="eastAsia" w:ascii="仿宋" w:hAnsi="仿宋" w:eastAsia="仿宋" w:cs="仿宋"/>
          <w:color w:val="auto"/>
          <w:sz w:val="24"/>
        </w:rPr>
        <w:t>电话：</w:t>
      </w:r>
    </w:p>
    <w:p>
      <w:pPr>
        <w:pStyle w:val="7"/>
        <w:tabs>
          <w:tab w:val="left" w:pos="4536"/>
        </w:tabs>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传真：</w:t>
      </w:r>
      <w:r>
        <w:rPr>
          <w:rFonts w:hint="eastAsia" w:ascii="仿宋" w:hAnsi="仿宋" w:eastAsia="仿宋" w:cs="仿宋"/>
          <w:color w:val="auto"/>
          <w:sz w:val="24"/>
        </w:rPr>
        <w:tab/>
      </w:r>
      <w:r>
        <w:rPr>
          <w:rFonts w:hint="eastAsia" w:ascii="仿宋" w:hAnsi="仿宋" w:eastAsia="仿宋" w:cs="仿宋"/>
          <w:color w:val="auto"/>
          <w:sz w:val="24"/>
        </w:rPr>
        <w:t>传真：</w:t>
      </w:r>
    </w:p>
    <w:p>
      <w:pPr>
        <w:pStyle w:val="7"/>
        <w:tabs>
          <w:tab w:val="left" w:pos="4536"/>
        </w:tabs>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签约日期：XX年XX月XX日</w:t>
      </w:r>
      <w:r>
        <w:rPr>
          <w:rFonts w:hint="eastAsia" w:ascii="仿宋" w:hAnsi="仿宋" w:eastAsia="仿宋" w:cs="仿宋"/>
          <w:color w:val="auto"/>
          <w:sz w:val="24"/>
        </w:rPr>
        <w:tab/>
      </w:r>
      <w:r>
        <w:rPr>
          <w:rFonts w:hint="eastAsia" w:ascii="仿宋" w:hAnsi="仿宋" w:eastAsia="仿宋" w:cs="仿宋"/>
          <w:color w:val="auto"/>
          <w:sz w:val="24"/>
        </w:rPr>
        <w:t>签约日期：XX年XX月XX日</w:t>
      </w:r>
    </w:p>
    <w:p>
      <w:pPr>
        <w:pStyle w:val="7"/>
        <w:snapToGrid w:val="0"/>
        <w:ind w:firstLine="422" w:firstLineChars="175"/>
        <w:rPr>
          <w:rFonts w:ascii="仿宋" w:hAnsi="仿宋" w:eastAsia="仿宋" w:cs="仿宋"/>
          <w:b/>
          <w:bCs/>
          <w:color w:val="auto"/>
          <w:sz w:val="24"/>
        </w:rPr>
      </w:pPr>
    </w:p>
    <w:p>
      <w:pPr>
        <w:pStyle w:val="7"/>
        <w:snapToGrid w:val="0"/>
        <w:ind w:firstLine="422" w:firstLineChars="175"/>
        <w:rPr>
          <w:rFonts w:ascii="仿宋" w:hAnsi="仿宋" w:eastAsia="仿宋" w:cs="仿宋"/>
          <w:color w:val="auto"/>
          <w:sz w:val="24"/>
        </w:rPr>
      </w:pPr>
      <w:r>
        <w:rPr>
          <w:rFonts w:hint="eastAsia" w:ascii="仿宋" w:hAnsi="仿宋" w:eastAsia="仿宋" w:cs="仿宋"/>
          <w:b/>
          <w:color w:val="auto"/>
          <w:sz w:val="24"/>
        </w:rPr>
        <w:t>注：本章的合同主要条款仅供参考之用，不排除在实际签约时使用更为专业化和细致的商业合同，所签合同条款应包括但不仅限于本章提供的参考条款。</w:t>
      </w:r>
    </w:p>
    <w:p>
      <w:pPr>
        <w:spacing w:line="360" w:lineRule="auto"/>
        <w:ind w:firstLine="420" w:firstLineChars="200"/>
        <w:rPr>
          <w:rFonts w:ascii="仿宋" w:hAnsi="仿宋" w:eastAsia="仿宋" w:cs="仿宋"/>
          <w:color w:val="auto"/>
        </w:rPr>
      </w:pPr>
    </w:p>
    <w:p>
      <w:pPr>
        <w:spacing w:line="360" w:lineRule="auto"/>
        <w:rPr>
          <w:rFonts w:hint="eastAsia" w:ascii="仿宋" w:hAnsi="仿宋" w:eastAsia="仿宋" w:cs="仿宋"/>
          <w:sz w:val="24"/>
        </w:rPr>
      </w:pPr>
    </w:p>
    <w:sectPr>
      <w:footerReference r:id="rId10" w:type="default"/>
      <w:pgSz w:w="11906" w:h="16838"/>
      <w:pgMar w:top="1440" w:right="2125"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新魏">
    <w:panose1 w:val="02010800040101010101"/>
    <w:charset w:val="86"/>
    <w:family w:val="auto"/>
    <w:pitch w:val="default"/>
    <w:sig w:usb0="00000001" w:usb1="080F0000" w:usb2="00000000" w:usb3="00000000" w:csb0="00040000" w:csb1="00000000"/>
  </w:font>
  <w:font w:name="楷体à.ā">
    <w:altName w:val="黑体"/>
    <w:panose1 w:val="00000000000000000000"/>
    <w:charset w:val="86"/>
    <w:family w:val="decorative"/>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rPr>
        <w:rStyle w:val="23"/>
      </w:rPr>
      <w:t>7</w: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3"/>
      </w:rPr>
    </w:pPr>
    <w:r>
      <w:fldChar w:fldCharType="begin"/>
    </w:r>
    <w:r>
      <w:rPr>
        <w:rStyle w:val="23"/>
      </w:rPr>
      <w:instrText xml:space="preserve">PAGE  </w:instrText>
    </w:r>
    <w:r>
      <w:fldChar w:fldCharType="separate"/>
    </w:r>
    <w:r>
      <w:rPr>
        <w:rStyle w:val="23"/>
      </w:rPr>
      <w:t>4</w:t>
    </w:r>
    <w:r>
      <w:fldChar w:fldCharType="end"/>
    </w:r>
  </w:p>
  <w:p>
    <w:pPr>
      <w:pStyle w:val="1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1347"/>
    </w:sdtPr>
    <w:sdtContent>
      <w:p>
        <w:pPr>
          <w:pStyle w:val="13"/>
          <w:jc w:val="center"/>
        </w:pPr>
        <w:r>
          <w:fldChar w:fldCharType="begin"/>
        </w:r>
        <w:r>
          <w:instrText xml:space="preserve"> PAGE   \* MERGEFORMAT </w:instrText>
        </w:r>
        <w:r>
          <w:fldChar w:fldCharType="separate"/>
        </w:r>
        <w:r>
          <w:rPr>
            <w:lang w:val="zh-CN"/>
          </w:rPr>
          <w:t>29</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double" w:color="auto" w:sz="6"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四川省工商行政管理局数据中心建设项目政府采购—</w:t>
    </w:r>
    <w:r>
      <w:rPr>
        <w:rFonts w:hint="eastAsia"/>
        <w:lang w:eastAsia="zh-CN"/>
      </w:rPr>
      <w:t>比选</w:t>
    </w:r>
    <w:r>
      <w:rPr>
        <w:rFonts w:hint="eastAsia"/>
      </w:rPr>
      <w:t>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double" w:color="auto" w:sz="6"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0635A9"/>
    <w:multiLevelType w:val="singleLevel"/>
    <w:tmpl w:val="A80635A9"/>
    <w:lvl w:ilvl="0" w:tentative="0">
      <w:start w:val="1"/>
      <w:numFmt w:val="chineseCounting"/>
      <w:pStyle w:val="65"/>
      <w:suff w:val="nothing"/>
      <w:lvlText w:val="第%1条  "/>
      <w:lvlJc w:val="left"/>
      <w:pPr>
        <w:ind w:left="0" w:firstLine="0"/>
      </w:pPr>
      <w:rPr>
        <w:rFonts w:hint="eastAsia"/>
      </w:rPr>
    </w:lvl>
  </w:abstractNum>
  <w:abstractNum w:abstractNumId="1">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66"/>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FF373E96"/>
    <w:multiLevelType w:val="singleLevel"/>
    <w:tmpl w:val="FF373E96"/>
    <w:lvl w:ilvl="0" w:tentative="0">
      <w:start w:val="3"/>
      <w:numFmt w:val="chineseCounting"/>
      <w:suff w:val="nothing"/>
      <w:lvlText w:val="%1、"/>
      <w:lvlJc w:val="left"/>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7"/>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52A33"/>
    <w:rsid w:val="000046B1"/>
    <w:rsid w:val="00006715"/>
    <w:rsid w:val="00006CD6"/>
    <w:rsid w:val="00012DAB"/>
    <w:rsid w:val="00023093"/>
    <w:rsid w:val="00030E59"/>
    <w:rsid w:val="000458A8"/>
    <w:rsid w:val="00046F93"/>
    <w:rsid w:val="000607F5"/>
    <w:rsid w:val="00072606"/>
    <w:rsid w:val="0007368D"/>
    <w:rsid w:val="000830D3"/>
    <w:rsid w:val="0008382E"/>
    <w:rsid w:val="000916DC"/>
    <w:rsid w:val="00097F1A"/>
    <w:rsid w:val="000A1845"/>
    <w:rsid w:val="000A33DC"/>
    <w:rsid w:val="000A4E0D"/>
    <w:rsid w:val="000A5EA0"/>
    <w:rsid w:val="000C4E00"/>
    <w:rsid w:val="000D37A3"/>
    <w:rsid w:val="000D3B3E"/>
    <w:rsid w:val="000D48F6"/>
    <w:rsid w:val="000D6376"/>
    <w:rsid w:val="000D6649"/>
    <w:rsid w:val="000E2049"/>
    <w:rsid w:val="000E5C5B"/>
    <w:rsid w:val="000F0910"/>
    <w:rsid w:val="000F51F4"/>
    <w:rsid w:val="000F59A2"/>
    <w:rsid w:val="000F5AA4"/>
    <w:rsid w:val="00100159"/>
    <w:rsid w:val="0010263A"/>
    <w:rsid w:val="001040DE"/>
    <w:rsid w:val="001070CA"/>
    <w:rsid w:val="00107D9B"/>
    <w:rsid w:val="00111468"/>
    <w:rsid w:val="0011284D"/>
    <w:rsid w:val="00112D60"/>
    <w:rsid w:val="00114264"/>
    <w:rsid w:val="00121488"/>
    <w:rsid w:val="00126197"/>
    <w:rsid w:val="00132DC5"/>
    <w:rsid w:val="00134C07"/>
    <w:rsid w:val="001430B9"/>
    <w:rsid w:val="00145651"/>
    <w:rsid w:val="001458EE"/>
    <w:rsid w:val="00146848"/>
    <w:rsid w:val="00147553"/>
    <w:rsid w:val="001507EF"/>
    <w:rsid w:val="0015096F"/>
    <w:rsid w:val="00156D6C"/>
    <w:rsid w:val="001577CF"/>
    <w:rsid w:val="00157B13"/>
    <w:rsid w:val="00162608"/>
    <w:rsid w:val="00172590"/>
    <w:rsid w:val="0018061C"/>
    <w:rsid w:val="00187C2A"/>
    <w:rsid w:val="001905D2"/>
    <w:rsid w:val="0019068F"/>
    <w:rsid w:val="00197327"/>
    <w:rsid w:val="001A1948"/>
    <w:rsid w:val="001A1ECA"/>
    <w:rsid w:val="001A4D0F"/>
    <w:rsid w:val="001B2489"/>
    <w:rsid w:val="001B466F"/>
    <w:rsid w:val="001B6F82"/>
    <w:rsid w:val="001B7282"/>
    <w:rsid w:val="001C2033"/>
    <w:rsid w:val="001C23E9"/>
    <w:rsid w:val="001C4AFD"/>
    <w:rsid w:val="001D0919"/>
    <w:rsid w:val="001D5D7F"/>
    <w:rsid w:val="001D7FEA"/>
    <w:rsid w:val="001E4032"/>
    <w:rsid w:val="001F1867"/>
    <w:rsid w:val="0020063C"/>
    <w:rsid w:val="00214CDF"/>
    <w:rsid w:val="0021686E"/>
    <w:rsid w:val="00221B27"/>
    <w:rsid w:val="00222221"/>
    <w:rsid w:val="00224795"/>
    <w:rsid w:val="00224C70"/>
    <w:rsid w:val="00224D1B"/>
    <w:rsid w:val="002273A4"/>
    <w:rsid w:val="00227DB6"/>
    <w:rsid w:val="00232A47"/>
    <w:rsid w:val="00235E9B"/>
    <w:rsid w:val="00246768"/>
    <w:rsid w:val="00246A13"/>
    <w:rsid w:val="002476FC"/>
    <w:rsid w:val="00254C60"/>
    <w:rsid w:val="0025529A"/>
    <w:rsid w:val="00265C13"/>
    <w:rsid w:val="00276E05"/>
    <w:rsid w:val="00281225"/>
    <w:rsid w:val="00286344"/>
    <w:rsid w:val="0029065C"/>
    <w:rsid w:val="0029072D"/>
    <w:rsid w:val="00290967"/>
    <w:rsid w:val="0029279F"/>
    <w:rsid w:val="002934A5"/>
    <w:rsid w:val="00293A6C"/>
    <w:rsid w:val="002A1B9A"/>
    <w:rsid w:val="002A1F39"/>
    <w:rsid w:val="002B241F"/>
    <w:rsid w:val="002C3463"/>
    <w:rsid w:val="002C455E"/>
    <w:rsid w:val="002D0755"/>
    <w:rsid w:val="002D09B7"/>
    <w:rsid w:val="002D3D58"/>
    <w:rsid w:val="002D42F9"/>
    <w:rsid w:val="002D4363"/>
    <w:rsid w:val="002D4EBE"/>
    <w:rsid w:val="002D57CD"/>
    <w:rsid w:val="002D5E04"/>
    <w:rsid w:val="002E1C08"/>
    <w:rsid w:val="002E252A"/>
    <w:rsid w:val="002F0267"/>
    <w:rsid w:val="002F1DCB"/>
    <w:rsid w:val="002F2E23"/>
    <w:rsid w:val="002F560D"/>
    <w:rsid w:val="0030421E"/>
    <w:rsid w:val="00305044"/>
    <w:rsid w:val="00314209"/>
    <w:rsid w:val="00327364"/>
    <w:rsid w:val="0033494E"/>
    <w:rsid w:val="003428A7"/>
    <w:rsid w:val="003452B1"/>
    <w:rsid w:val="00354D11"/>
    <w:rsid w:val="00355D6A"/>
    <w:rsid w:val="00355D72"/>
    <w:rsid w:val="00355DF0"/>
    <w:rsid w:val="003564B6"/>
    <w:rsid w:val="0035778C"/>
    <w:rsid w:val="00363C47"/>
    <w:rsid w:val="0036604E"/>
    <w:rsid w:val="00366191"/>
    <w:rsid w:val="00366D73"/>
    <w:rsid w:val="0037157E"/>
    <w:rsid w:val="003821F6"/>
    <w:rsid w:val="00384C61"/>
    <w:rsid w:val="003919A2"/>
    <w:rsid w:val="00395FA3"/>
    <w:rsid w:val="003A04C6"/>
    <w:rsid w:val="003A20D2"/>
    <w:rsid w:val="003A5167"/>
    <w:rsid w:val="003A5E8A"/>
    <w:rsid w:val="003C59C0"/>
    <w:rsid w:val="003C5FFE"/>
    <w:rsid w:val="003C77AD"/>
    <w:rsid w:val="003E2E5F"/>
    <w:rsid w:val="003E3E98"/>
    <w:rsid w:val="003F3FFB"/>
    <w:rsid w:val="003F73DD"/>
    <w:rsid w:val="00403D5A"/>
    <w:rsid w:val="004055B1"/>
    <w:rsid w:val="00413478"/>
    <w:rsid w:val="004152B5"/>
    <w:rsid w:val="00420898"/>
    <w:rsid w:val="004314B2"/>
    <w:rsid w:val="004320B8"/>
    <w:rsid w:val="0043405A"/>
    <w:rsid w:val="004414B3"/>
    <w:rsid w:val="00442B42"/>
    <w:rsid w:val="00447FFB"/>
    <w:rsid w:val="0045078A"/>
    <w:rsid w:val="004553BE"/>
    <w:rsid w:val="004620A9"/>
    <w:rsid w:val="0047517A"/>
    <w:rsid w:val="004763AF"/>
    <w:rsid w:val="0047776D"/>
    <w:rsid w:val="00477F09"/>
    <w:rsid w:val="0048555A"/>
    <w:rsid w:val="00490910"/>
    <w:rsid w:val="004A09CB"/>
    <w:rsid w:val="004A6657"/>
    <w:rsid w:val="004C15EE"/>
    <w:rsid w:val="004C353A"/>
    <w:rsid w:val="004E0378"/>
    <w:rsid w:val="004E2604"/>
    <w:rsid w:val="004E39A1"/>
    <w:rsid w:val="004E63F4"/>
    <w:rsid w:val="004F3173"/>
    <w:rsid w:val="004F63EC"/>
    <w:rsid w:val="005121AA"/>
    <w:rsid w:val="005140D9"/>
    <w:rsid w:val="005167A3"/>
    <w:rsid w:val="00520BC4"/>
    <w:rsid w:val="005221CD"/>
    <w:rsid w:val="00525031"/>
    <w:rsid w:val="005277F7"/>
    <w:rsid w:val="00530D26"/>
    <w:rsid w:val="00536F4F"/>
    <w:rsid w:val="00542A29"/>
    <w:rsid w:val="00550FCB"/>
    <w:rsid w:val="0055364A"/>
    <w:rsid w:val="005542F1"/>
    <w:rsid w:val="00554AAC"/>
    <w:rsid w:val="00564B03"/>
    <w:rsid w:val="005653E9"/>
    <w:rsid w:val="005711FE"/>
    <w:rsid w:val="00571F02"/>
    <w:rsid w:val="005722B3"/>
    <w:rsid w:val="0057281C"/>
    <w:rsid w:val="00572C02"/>
    <w:rsid w:val="00577592"/>
    <w:rsid w:val="005803DA"/>
    <w:rsid w:val="005848D6"/>
    <w:rsid w:val="00587797"/>
    <w:rsid w:val="005B28BF"/>
    <w:rsid w:val="005C1763"/>
    <w:rsid w:val="005C205E"/>
    <w:rsid w:val="005C36BA"/>
    <w:rsid w:val="005C64CF"/>
    <w:rsid w:val="005D4FC3"/>
    <w:rsid w:val="005D5DB8"/>
    <w:rsid w:val="005E0D96"/>
    <w:rsid w:val="005E0D9D"/>
    <w:rsid w:val="005F0C67"/>
    <w:rsid w:val="00603A57"/>
    <w:rsid w:val="0060688B"/>
    <w:rsid w:val="00613EA2"/>
    <w:rsid w:val="00614DAB"/>
    <w:rsid w:val="00617DD0"/>
    <w:rsid w:val="0062275A"/>
    <w:rsid w:val="006250B4"/>
    <w:rsid w:val="00631C31"/>
    <w:rsid w:val="00631EDB"/>
    <w:rsid w:val="006436E2"/>
    <w:rsid w:val="00646EAD"/>
    <w:rsid w:val="00647E6F"/>
    <w:rsid w:val="00655152"/>
    <w:rsid w:val="0065685C"/>
    <w:rsid w:val="00664355"/>
    <w:rsid w:val="00665F6F"/>
    <w:rsid w:val="00667704"/>
    <w:rsid w:val="006740AD"/>
    <w:rsid w:val="00675C82"/>
    <w:rsid w:val="00681CFF"/>
    <w:rsid w:val="006822E0"/>
    <w:rsid w:val="00686309"/>
    <w:rsid w:val="00687757"/>
    <w:rsid w:val="00692A77"/>
    <w:rsid w:val="00693F6F"/>
    <w:rsid w:val="0069645A"/>
    <w:rsid w:val="006A06BC"/>
    <w:rsid w:val="006A70F3"/>
    <w:rsid w:val="006B193E"/>
    <w:rsid w:val="006D357A"/>
    <w:rsid w:val="006D433B"/>
    <w:rsid w:val="006D4D3C"/>
    <w:rsid w:val="006D5151"/>
    <w:rsid w:val="006D6235"/>
    <w:rsid w:val="006E058C"/>
    <w:rsid w:val="006E5B33"/>
    <w:rsid w:val="006F50BE"/>
    <w:rsid w:val="006F6A7F"/>
    <w:rsid w:val="00702BBF"/>
    <w:rsid w:val="0071004F"/>
    <w:rsid w:val="00722695"/>
    <w:rsid w:val="007229A7"/>
    <w:rsid w:val="007258E9"/>
    <w:rsid w:val="007274FA"/>
    <w:rsid w:val="00731505"/>
    <w:rsid w:val="00737B4C"/>
    <w:rsid w:val="0074455C"/>
    <w:rsid w:val="007469E2"/>
    <w:rsid w:val="00747608"/>
    <w:rsid w:val="00750D90"/>
    <w:rsid w:val="00753B28"/>
    <w:rsid w:val="00754D47"/>
    <w:rsid w:val="00757BFC"/>
    <w:rsid w:val="00761D07"/>
    <w:rsid w:val="00767DBC"/>
    <w:rsid w:val="0077639E"/>
    <w:rsid w:val="007764E0"/>
    <w:rsid w:val="00784003"/>
    <w:rsid w:val="007912F3"/>
    <w:rsid w:val="00795C88"/>
    <w:rsid w:val="00796B65"/>
    <w:rsid w:val="00797F4A"/>
    <w:rsid w:val="007A3F51"/>
    <w:rsid w:val="007A5A63"/>
    <w:rsid w:val="007A5FE2"/>
    <w:rsid w:val="007A613A"/>
    <w:rsid w:val="007B1B4E"/>
    <w:rsid w:val="007B3716"/>
    <w:rsid w:val="007B675F"/>
    <w:rsid w:val="007C0FDA"/>
    <w:rsid w:val="007C11D8"/>
    <w:rsid w:val="007D112D"/>
    <w:rsid w:val="007D374E"/>
    <w:rsid w:val="007E0EB0"/>
    <w:rsid w:val="007E75C1"/>
    <w:rsid w:val="007F0344"/>
    <w:rsid w:val="007F071E"/>
    <w:rsid w:val="007F1661"/>
    <w:rsid w:val="00802BC3"/>
    <w:rsid w:val="00804304"/>
    <w:rsid w:val="00814080"/>
    <w:rsid w:val="00820BE2"/>
    <w:rsid w:val="00821B1F"/>
    <w:rsid w:val="00823C0B"/>
    <w:rsid w:val="0083061B"/>
    <w:rsid w:val="00835413"/>
    <w:rsid w:val="00836B9D"/>
    <w:rsid w:val="00850FF9"/>
    <w:rsid w:val="0085103B"/>
    <w:rsid w:val="00864255"/>
    <w:rsid w:val="00864A19"/>
    <w:rsid w:val="00871506"/>
    <w:rsid w:val="00872219"/>
    <w:rsid w:val="00872E45"/>
    <w:rsid w:val="0087486F"/>
    <w:rsid w:val="0087508C"/>
    <w:rsid w:val="008822C2"/>
    <w:rsid w:val="00893191"/>
    <w:rsid w:val="00894D8C"/>
    <w:rsid w:val="00897963"/>
    <w:rsid w:val="008B3165"/>
    <w:rsid w:val="008B44EF"/>
    <w:rsid w:val="008B6A20"/>
    <w:rsid w:val="008E0520"/>
    <w:rsid w:val="008E1FDE"/>
    <w:rsid w:val="008E2D15"/>
    <w:rsid w:val="008E3FF0"/>
    <w:rsid w:val="008F0F96"/>
    <w:rsid w:val="008F4A1F"/>
    <w:rsid w:val="0090066C"/>
    <w:rsid w:val="00901AB0"/>
    <w:rsid w:val="00904E81"/>
    <w:rsid w:val="0090776D"/>
    <w:rsid w:val="00917B96"/>
    <w:rsid w:val="00920F6B"/>
    <w:rsid w:val="009213AF"/>
    <w:rsid w:val="00922615"/>
    <w:rsid w:val="00925869"/>
    <w:rsid w:val="00927B63"/>
    <w:rsid w:val="00935AD7"/>
    <w:rsid w:val="0093717C"/>
    <w:rsid w:val="00950915"/>
    <w:rsid w:val="009512D8"/>
    <w:rsid w:val="009617B1"/>
    <w:rsid w:val="009629A5"/>
    <w:rsid w:val="00970FC3"/>
    <w:rsid w:val="00971687"/>
    <w:rsid w:val="00981005"/>
    <w:rsid w:val="00993CF2"/>
    <w:rsid w:val="0099411E"/>
    <w:rsid w:val="009A2C88"/>
    <w:rsid w:val="009A63A0"/>
    <w:rsid w:val="009A6A1D"/>
    <w:rsid w:val="009A6FFA"/>
    <w:rsid w:val="009C0249"/>
    <w:rsid w:val="009C2695"/>
    <w:rsid w:val="009C70B7"/>
    <w:rsid w:val="009E0412"/>
    <w:rsid w:val="009F1529"/>
    <w:rsid w:val="00A040A4"/>
    <w:rsid w:val="00A05AAC"/>
    <w:rsid w:val="00A07F01"/>
    <w:rsid w:val="00A138C3"/>
    <w:rsid w:val="00A147EF"/>
    <w:rsid w:val="00A15D9E"/>
    <w:rsid w:val="00A166E0"/>
    <w:rsid w:val="00A16E73"/>
    <w:rsid w:val="00A20F31"/>
    <w:rsid w:val="00A224EA"/>
    <w:rsid w:val="00A233A5"/>
    <w:rsid w:val="00A27EB9"/>
    <w:rsid w:val="00A30DC9"/>
    <w:rsid w:val="00A37583"/>
    <w:rsid w:val="00A43B3E"/>
    <w:rsid w:val="00A4640A"/>
    <w:rsid w:val="00A5248C"/>
    <w:rsid w:val="00A52A33"/>
    <w:rsid w:val="00A532C9"/>
    <w:rsid w:val="00A561CC"/>
    <w:rsid w:val="00A600F3"/>
    <w:rsid w:val="00A67D7E"/>
    <w:rsid w:val="00A711C7"/>
    <w:rsid w:val="00A73807"/>
    <w:rsid w:val="00A74101"/>
    <w:rsid w:val="00A80734"/>
    <w:rsid w:val="00A82B9D"/>
    <w:rsid w:val="00A87274"/>
    <w:rsid w:val="00A87A27"/>
    <w:rsid w:val="00A90656"/>
    <w:rsid w:val="00AA17AD"/>
    <w:rsid w:val="00AA45C9"/>
    <w:rsid w:val="00AB3361"/>
    <w:rsid w:val="00AC0869"/>
    <w:rsid w:val="00AC0F2F"/>
    <w:rsid w:val="00AC135D"/>
    <w:rsid w:val="00AD0110"/>
    <w:rsid w:val="00AD3327"/>
    <w:rsid w:val="00AD7994"/>
    <w:rsid w:val="00AE69C7"/>
    <w:rsid w:val="00AF5F3E"/>
    <w:rsid w:val="00AF7016"/>
    <w:rsid w:val="00AF78DD"/>
    <w:rsid w:val="00B00C58"/>
    <w:rsid w:val="00B01852"/>
    <w:rsid w:val="00B022B2"/>
    <w:rsid w:val="00B06E5B"/>
    <w:rsid w:val="00B2467F"/>
    <w:rsid w:val="00B255F4"/>
    <w:rsid w:val="00B25DD8"/>
    <w:rsid w:val="00B54CBE"/>
    <w:rsid w:val="00B574F5"/>
    <w:rsid w:val="00B6169A"/>
    <w:rsid w:val="00B75D2C"/>
    <w:rsid w:val="00B76BD9"/>
    <w:rsid w:val="00B77485"/>
    <w:rsid w:val="00B82CE2"/>
    <w:rsid w:val="00B85841"/>
    <w:rsid w:val="00B866C8"/>
    <w:rsid w:val="00B87A74"/>
    <w:rsid w:val="00B87CF0"/>
    <w:rsid w:val="00B90AA4"/>
    <w:rsid w:val="00B90C19"/>
    <w:rsid w:val="00B94F05"/>
    <w:rsid w:val="00B95886"/>
    <w:rsid w:val="00B97B75"/>
    <w:rsid w:val="00BB52A3"/>
    <w:rsid w:val="00BC054E"/>
    <w:rsid w:val="00BC5474"/>
    <w:rsid w:val="00BD2E49"/>
    <w:rsid w:val="00BD3087"/>
    <w:rsid w:val="00BE7EF7"/>
    <w:rsid w:val="00BF1EE7"/>
    <w:rsid w:val="00BF2F96"/>
    <w:rsid w:val="00BF35F2"/>
    <w:rsid w:val="00C0147B"/>
    <w:rsid w:val="00C02422"/>
    <w:rsid w:val="00C136B1"/>
    <w:rsid w:val="00C14874"/>
    <w:rsid w:val="00C162E9"/>
    <w:rsid w:val="00C20CFD"/>
    <w:rsid w:val="00C20FD5"/>
    <w:rsid w:val="00C210CF"/>
    <w:rsid w:val="00C22EE8"/>
    <w:rsid w:val="00C25117"/>
    <w:rsid w:val="00C2674C"/>
    <w:rsid w:val="00C375AE"/>
    <w:rsid w:val="00C42294"/>
    <w:rsid w:val="00C46332"/>
    <w:rsid w:val="00C46975"/>
    <w:rsid w:val="00C51AED"/>
    <w:rsid w:val="00C637B9"/>
    <w:rsid w:val="00C753A5"/>
    <w:rsid w:val="00C75493"/>
    <w:rsid w:val="00C84E3D"/>
    <w:rsid w:val="00C868F4"/>
    <w:rsid w:val="00C927DE"/>
    <w:rsid w:val="00CA4475"/>
    <w:rsid w:val="00CB7C22"/>
    <w:rsid w:val="00CC67BB"/>
    <w:rsid w:val="00CD6783"/>
    <w:rsid w:val="00CD782B"/>
    <w:rsid w:val="00CE23DB"/>
    <w:rsid w:val="00CE2491"/>
    <w:rsid w:val="00CF3F19"/>
    <w:rsid w:val="00D00B69"/>
    <w:rsid w:val="00D01643"/>
    <w:rsid w:val="00D1031E"/>
    <w:rsid w:val="00D11CFB"/>
    <w:rsid w:val="00D11E1E"/>
    <w:rsid w:val="00D135CA"/>
    <w:rsid w:val="00D16E99"/>
    <w:rsid w:val="00D2646A"/>
    <w:rsid w:val="00D342A5"/>
    <w:rsid w:val="00D37D2C"/>
    <w:rsid w:val="00D43F8F"/>
    <w:rsid w:val="00D45656"/>
    <w:rsid w:val="00D46F37"/>
    <w:rsid w:val="00D500E3"/>
    <w:rsid w:val="00D57981"/>
    <w:rsid w:val="00D648FE"/>
    <w:rsid w:val="00D65890"/>
    <w:rsid w:val="00D71EC9"/>
    <w:rsid w:val="00D7488B"/>
    <w:rsid w:val="00D74AD5"/>
    <w:rsid w:val="00D91CCA"/>
    <w:rsid w:val="00D94C37"/>
    <w:rsid w:val="00DB2077"/>
    <w:rsid w:val="00DC2DFD"/>
    <w:rsid w:val="00DC317D"/>
    <w:rsid w:val="00DC3FD9"/>
    <w:rsid w:val="00DC7454"/>
    <w:rsid w:val="00DD21E7"/>
    <w:rsid w:val="00DD4D7F"/>
    <w:rsid w:val="00DD6C16"/>
    <w:rsid w:val="00DD75B8"/>
    <w:rsid w:val="00E002FC"/>
    <w:rsid w:val="00E0435B"/>
    <w:rsid w:val="00E15715"/>
    <w:rsid w:val="00E20AA1"/>
    <w:rsid w:val="00E26672"/>
    <w:rsid w:val="00E302B3"/>
    <w:rsid w:val="00E34873"/>
    <w:rsid w:val="00E36D06"/>
    <w:rsid w:val="00E41150"/>
    <w:rsid w:val="00E55164"/>
    <w:rsid w:val="00E55957"/>
    <w:rsid w:val="00E67C21"/>
    <w:rsid w:val="00E7222D"/>
    <w:rsid w:val="00E7291C"/>
    <w:rsid w:val="00E72A8A"/>
    <w:rsid w:val="00E73BB6"/>
    <w:rsid w:val="00E80553"/>
    <w:rsid w:val="00E82BC9"/>
    <w:rsid w:val="00E8504F"/>
    <w:rsid w:val="00E85591"/>
    <w:rsid w:val="00E87A2A"/>
    <w:rsid w:val="00E918A3"/>
    <w:rsid w:val="00E92E73"/>
    <w:rsid w:val="00EA132C"/>
    <w:rsid w:val="00EA2451"/>
    <w:rsid w:val="00EA2DBF"/>
    <w:rsid w:val="00EB2920"/>
    <w:rsid w:val="00EB2CC3"/>
    <w:rsid w:val="00EB4DE7"/>
    <w:rsid w:val="00EB5AF2"/>
    <w:rsid w:val="00EC45B2"/>
    <w:rsid w:val="00ED2CCD"/>
    <w:rsid w:val="00EE2579"/>
    <w:rsid w:val="00EE51A8"/>
    <w:rsid w:val="00EE5987"/>
    <w:rsid w:val="00EF36D9"/>
    <w:rsid w:val="00EF3829"/>
    <w:rsid w:val="00EF547D"/>
    <w:rsid w:val="00F00166"/>
    <w:rsid w:val="00F03975"/>
    <w:rsid w:val="00F05C7D"/>
    <w:rsid w:val="00F074A3"/>
    <w:rsid w:val="00F27E1B"/>
    <w:rsid w:val="00F340C7"/>
    <w:rsid w:val="00F3767A"/>
    <w:rsid w:val="00F42F77"/>
    <w:rsid w:val="00F43AF7"/>
    <w:rsid w:val="00F52611"/>
    <w:rsid w:val="00F544B3"/>
    <w:rsid w:val="00F5770F"/>
    <w:rsid w:val="00F625F7"/>
    <w:rsid w:val="00F63854"/>
    <w:rsid w:val="00F65F88"/>
    <w:rsid w:val="00F672AB"/>
    <w:rsid w:val="00F67787"/>
    <w:rsid w:val="00F74BCA"/>
    <w:rsid w:val="00F82238"/>
    <w:rsid w:val="00FA1535"/>
    <w:rsid w:val="00FA438E"/>
    <w:rsid w:val="00FB26F4"/>
    <w:rsid w:val="00FC6A92"/>
    <w:rsid w:val="00FE2542"/>
    <w:rsid w:val="00FE26EB"/>
    <w:rsid w:val="00FE278F"/>
    <w:rsid w:val="00FE41FC"/>
    <w:rsid w:val="00FF6FCA"/>
    <w:rsid w:val="01A56CC4"/>
    <w:rsid w:val="01E5105D"/>
    <w:rsid w:val="0212029A"/>
    <w:rsid w:val="021759F1"/>
    <w:rsid w:val="02A21E94"/>
    <w:rsid w:val="035C253F"/>
    <w:rsid w:val="036074DE"/>
    <w:rsid w:val="037E5642"/>
    <w:rsid w:val="041156C1"/>
    <w:rsid w:val="041A64C5"/>
    <w:rsid w:val="042F1160"/>
    <w:rsid w:val="04582FBC"/>
    <w:rsid w:val="04701B75"/>
    <w:rsid w:val="04DF2DB8"/>
    <w:rsid w:val="052E6416"/>
    <w:rsid w:val="05376167"/>
    <w:rsid w:val="054632E6"/>
    <w:rsid w:val="055A79CC"/>
    <w:rsid w:val="055C7690"/>
    <w:rsid w:val="05701418"/>
    <w:rsid w:val="05B04BDD"/>
    <w:rsid w:val="05C11A83"/>
    <w:rsid w:val="05D56FB7"/>
    <w:rsid w:val="05D826CB"/>
    <w:rsid w:val="06572807"/>
    <w:rsid w:val="06622926"/>
    <w:rsid w:val="06A024DB"/>
    <w:rsid w:val="06B10AD7"/>
    <w:rsid w:val="073579ED"/>
    <w:rsid w:val="077F29F6"/>
    <w:rsid w:val="079857B4"/>
    <w:rsid w:val="07A82E4B"/>
    <w:rsid w:val="07B25916"/>
    <w:rsid w:val="080A39F5"/>
    <w:rsid w:val="08386BED"/>
    <w:rsid w:val="084A4A99"/>
    <w:rsid w:val="085E0A73"/>
    <w:rsid w:val="08D017A4"/>
    <w:rsid w:val="08F41E18"/>
    <w:rsid w:val="093D6782"/>
    <w:rsid w:val="096875AF"/>
    <w:rsid w:val="0A3A2D36"/>
    <w:rsid w:val="0A5E7DF7"/>
    <w:rsid w:val="0A8E1378"/>
    <w:rsid w:val="0AA443F2"/>
    <w:rsid w:val="0AA57AE6"/>
    <w:rsid w:val="0AE176FD"/>
    <w:rsid w:val="0AF8671A"/>
    <w:rsid w:val="0B1D16C7"/>
    <w:rsid w:val="0B2123DC"/>
    <w:rsid w:val="0B2B1F62"/>
    <w:rsid w:val="0B5B7750"/>
    <w:rsid w:val="0BE3344D"/>
    <w:rsid w:val="0C0F38EB"/>
    <w:rsid w:val="0C637838"/>
    <w:rsid w:val="0D490EFC"/>
    <w:rsid w:val="0D5C7670"/>
    <w:rsid w:val="0D956E97"/>
    <w:rsid w:val="0DC56086"/>
    <w:rsid w:val="0DD351FA"/>
    <w:rsid w:val="0DD40BA2"/>
    <w:rsid w:val="0E16320D"/>
    <w:rsid w:val="0E2D6447"/>
    <w:rsid w:val="0E5E65A3"/>
    <w:rsid w:val="0E661161"/>
    <w:rsid w:val="0E9C343D"/>
    <w:rsid w:val="0EA0718B"/>
    <w:rsid w:val="0EA47D28"/>
    <w:rsid w:val="0F0C34F8"/>
    <w:rsid w:val="0F6527D1"/>
    <w:rsid w:val="0F936F7A"/>
    <w:rsid w:val="107565BC"/>
    <w:rsid w:val="109A195F"/>
    <w:rsid w:val="11055AB2"/>
    <w:rsid w:val="1116147A"/>
    <w:rsid w:val="116A278C"/>
    <w:rsid w:val="11940E2F"/>
    <w:rsid w:val="119D476E"/>
    <w:rsid w:val="11AA16C9"/>
    <w:rsid w:val="11F5339A"/>
    <w:rsid w:val="122F581A"/>
    <w:rsid w:val="12415F0F"/>
    <w:rsid w:val="12595808"/>
    <w:rsid w:val="12A26FBB"/>
    <w:rsid w:val="12D020F1"/>
    <w:rsid w:val="13A20EB7"/>
    <w:rsid w:val="14153F0C"/>
    <w:rsid w:val="147B166C"/>
    <w:rsid w:val="149B05AB"/>
    <w:rsid w:val="15227388"/>
    <w:rsid w:val="153F7543"/>
    <w:rsid w:val="156331F9"/>
    <w:rsid w:val="15B312F0"/>
    <w:rsid w:val="15D66215"/>
    <w:rsid w:val="16025CC6"/>
    <w:rsid w:val="16E65012"/>
    <w:rsid w:val="17113830"/>
    <w:rsid w:val="17902815"/>
    <w:rsid w:val="17FF5512"/>
    <w:rsid w:val="1808598A"/>
    <w:rsid w:val="18E4752A"/>
    <w:rsid w:val="19752F31"/>
    <w:rsid w:val="19A3336D"/>
    <w:rsid w:val="1A065E5C"/>
    <w:rsid w:val="1A465683"/>
    <w:rsid w:val="1A4B4383"/>
    <w:rsid w:val="1A5804D7"/>
    <w:rsid w:val="1A9F49AE"/>
    <w:rsid w:val="1B2945B9"/>
    <w:rsid w:val="1BB82D05"/>
    <w:rsid w:val="1BFA2CAF"/>
    <w:rsid w:val="1D0D6BC2"/>
    <w:rsid w:val="1D8605E2"/>
    <w:rsid w:val="1D8D0102"/>
    <w:rsid w:val="1E265624"/>
    <w:rsid w:val="1EB40CB9"/>
    <w:rsid w:val="1EC434F4"/>
    <w:rsid w:val="1F362992"/>
    <w:rsid w:val="1F4E14AC"/>
    <w:rsid w:val="1FF75F2C"/>
    <w:rsid w:val="1FF8292B"/>
    <w:rsid w:val="202563BC"/>
    <w:rsid w:val="2031198D"/>
    <w:rsid w:val="208E7041"/>
    <w:rsid w:val="21002AAD"/>
    <w:rsid w:val="213061BD"/>
    <w:rsid w:val="214069C0"/>
    <w:rsid w:val="23AE25E3"/>
    <w:rsid w:val="23E103BD"/>
    <w:rsid w:val="24091B1D"/>
    <w:rsid w:val="242121D6"/>
    <w:rsid w:val="246B08AD"/>
    <w:rsid w:val="24831A27"/>
    <w:rsid w:val="24913CC7"/>
    <w:rsid w:val="2495472E"/>
    <w:rsid w:val="24DE5C64"/>
    <w:rsid w:val="24F74956"/>
    <w:rsid w:val="25013FDD"/>
    <w:rsid w:val="254B3A97"/>
    <w:rsid w:val="25AB4125"/>
    <w:rsid w:val="26076434"/>
    <w:rsid w:val="264C5BE8"/>
    <w:rsid w:val="268C4A8C"/>
    <w:rsid w:val="26EA3EF9"/>
    <w:rsid w:val="27074B07"/>
    <w:rsid w:val="27213ED3"/>
    <w:rsid w:val="27586B4B"/>
    <w:rsid w:val="27C0656A"/>
    <w:rsid w:val="27D2522B"/>
    <w:rsid w:val="27D92282"/>
    <w:rsid w:val="28123860"/>
    <w:rsid w:val="2824435A"/>
    <w:rsid w:val="28C762FB"/>
    <w:rsid w:val="28DE2C23"/>
    <w:rsid w:val="28F06B79"/>
    <w:rsid w:val="29A752BC"/>
    <w:rsid w:val="29CA7A52"/>
    <w:rsid w:val="29D4645B"/>
    <w:rsid w:val="29E07FE4"/>
    <w:rsid w:val="2A012CBD"/>
    <w:rsid w:val="2A0B68B9"/>
    <w:rsid w:val="2A696900"/>
    <w:rsid w:val="2AB50640"/>
    <w:rsid w:val="2BF04A8B"/>
    <w:rsid w:val="2BF602F0"/>
    <w:rsid w:val="2C0743D8"/>
    <w:rsid w:val="2C27494E"/>
    <w:rsid w:val="2C2B5C48"/>
    <w:rsid w:val="2C433CF9"/>
    <w:rsid w:val="2C954213"/>
    <w:rsid w:val="2CB12751"/>
    <w:rsid w:val="2CC86354"/>
    <w:rsid w:val="2D0F03A1"/>
    <w:rsid w:val="2D160AE7"/>
    <w:rsid w:val="2D357B66"/>
    <w:rsid w:val="2D56404C"/>
    <w:rsid w:val="2D64550D"/>
    <w:rsid w:val="2E1F5AF2"/>
    <w:rsid w:val="2E331241"/>
    <w:rsid w:val="2EA14C48"/>
    <w:rsid w:val="2F14725A"/>
    <w:rsid w:val="2F5170E8"/>
    <w:rsid w:val="2F684651"/>
    <w:rsid w:val="2FAB5A2E"/>
    <w:rsid w:val="2FD0610E"/>
    <w:rsid w:val="2FDA705A"/>
    <w:rsid w:val="30CE3C1B"/>
    <w:rsid w:val="31261739"/>
    <w:rsid w:val="3128285D"/>
    <w:rsid w:val="315628CB"/>
    <w:rsid w:val="31F12453"/>
    <w:rsid w:val="327251E9"/>
    <w:rsid w:val="32A04B04"/>
    <w:rsid w:val="32DB7E2C"/>
    <w:rsid w:val="33336738"/>
    <w:rsid w:val="33383232"/>
    <w:rsid w:val="3350371B"/>
    <w:rsid w:val="337A3385"/>
    <w:rsid w:val="33FC393D"/>
    <w:rsid w:val="34193DA1"/>
    <w:rsid w:val="34640049"/>
    <w:rsid w:val="34915254"/>
    <w:rsid w:val="34925255"/>
    <w:rsid w:val="34AC107D"/>
    <w:rsid w:val="34B61E91"/>
    <w:rsid w:val="34E72F03"/>
    <w:rsid w:val="34F04B39"/>
    <w:rsid w:val="350269AF"/>
    <w:rsid w:val="3519539A"/>
    <w:rsid w:val="357F16BE"/>
    <w:rsid w:val="35AF0A9B"/>
    <w:rsid w:val="35B7508A"/>
    <w:rsid w:val="35BC0AA8"/>
    <w:rsid w:val="35E04B3C"/>
    <w:rsid w:val="360E688F"/>
    <w:rsid w:val="36E75E07"/>
    <w:rsid w:val="36F166BF"/>
    <w:rsid w:val="3740447E"/>
    <w:rsid w:val="37BC56F3"/>
    <w:rsid w:val="37F1198E"/>
    <w:rsid w:val="382D43B8"/>
    <w:rsid w:val="38311542"/>
    <w:rsid w:val="38403AB9"/>
    <w:rsid w:val="38C15E2C"/>
    <w:rsid w:val="39377829"/>
    <w:rsid w:val="397E791D"/>
    <w:rsid w:val="398F341D"/>
    <w:rsid w:val="39AA1505"/>
    <w:rsid w:val="39AC12BE"/>
    <w:rsid w:val="3A5E6FD0"/>
    <w:rsid w:val="3A6E4E1C"/>
    <w:rsid w:val="3A75475F"/>
    <w:rsid w:val="3AEA18C6"/>
    <w:rsid w:val="3AEF7111"/>
    <w:rsid w:val="3B102D49"/>
    <w:rsid w:val="3BF5748F"/>
    <w:rsid w:val="3C0B1B8C"/>
    <w:rsid w:val="3C25509B"/>
    <w:rsid w:val="3C343BC7"/>
    <w:rsid w:val="3C8D6287"/>
    <w:rsid w:val="3C9F0857"/>
    <w:rsid w:val="3CB750D3"/>
    <w:rsid w:val="3D3715E8"/>
    <w:rsid w:val="3D52072A"/>
    <w:rsid w:val="3DB51F55"/>
    <w:rsid w:val="3E010E5B"/>
    <w:rsid w:val="3E324CA8"/>
    <w:rsid w:val="3E3F66C4"/>
    <w:rsid w:val="3E4D6665"/>
    <w:rsid w:val="3E621B15"/>
    <w:rsid w:val="3E662A6F"/>
    <w:rsid w:val="3E780149"/>
    <w:rsid w:val="3ED66E9D"/>
    <w:rsid w:val="3EDD48C5"/>
    <w:rsid w:val="3F016C5F"/>
    <w:rsid w:val="3F4B0046"/>
    <w:rsid w:val="3FA25E06"/>
    <w:rsid w:val="402518D4"/>
    <w:rsid w:val="406957E5"/>
    <w:rsid w:val="408E4634"/>
    <w:rsid w:val="40981409"/>
    <w:rsid w:val="40AB1C91"/>
    <w:rsid w:val="412B08CB"/>
    <w:rsid w:val="41642C35"/>
    <w:rsid w:val="41A92C08"/>
    <w:rsid w:val="41D34AC1"/>
    <w:rsid w:val="41F2642F"/>
    <w:rsid w:val="42507552"/>
    <w:rsid w:val="425A6EA0"/>
    <w:rsid w:val="425D6106"/>
    <w:rsid w:val="428C70D1"/>
    <w:rsid w:val="42C10E3B"/>
    <w:rsid w:val="430D450D"/>
    <w:rsid w:val="43374264"/>
    <w:rsid w:val="4349653F"/>
    <w:rsid w:val="43950872"/>
    <w:rsid w:val="443D714F"/>
    <w:rsid w:val="444324CB"/>
    <w:rsid w:val="447609A7"/>
    <w:rsid w:val="449933D5"/>
    <w:rsid w:val="44A175B5"/>
    <w:rsid w:val="44CB1F53"/>
    <w:rsid w:val="45393B83"/>
    <w:rsid w:val="454D67AC"/>
    <w:rsid w:val="45B5650D"/>
    <w:rsid w:val="46427C75"/>
    <w:rsid w:val="46EE7482"/>
    <w:rsid w:val="47666ABE"/>
    <w:rsid w:val="47B9045E"/>
    <w:rsid w:val="47CF652C"/>
    <w:rsid w:val="48404222"/>
    <w:rsid w:val="48572443"/>
    <w:rsid w:val="48780818"/>
    <w:rsid w:val="48A134D2"/>
    <w:rsid w:val="4942375E"/>
    <w:rsid w:val="49700FE2"/>
    <w:rsid w:val="49A020D9"/>
    <w:rsid w:val="49A059B2"/>
    <w:rsid w:val="49F22A21"/>
    <w:rsid w:val="4A4F54D1"/>
    <w:rsid w:val="4A835BC7"/>
    <w:rsid w:val="4B4C33D6"/>
    <w:rsid w:val="4B72323F"/>
    <w:rsid w:val="4B7F0554"/>
    <w:rsid w:val="4B8A47E6"/>
    <w:rsid w:val="4C703163"/>
    <w:rsid w:val="4C8F53C9"/>
    <w:rsid w:val="4CA034FC"/>
    <w:rsid w:val="4CC5498D"/>
    <w:rsid w:val="4D9858C4"/>
    <w:rsid w:val="4DB811A9"/>
    <w:rsid w:val="4DD475D1"/>
    <w:rsid w:val="4DD77E50"/>
    <w:rsid w:val="4DED40BD"/>
    <w:rsid w:val="4E05726A"/>
    <w:rsid w:val="4E0D0556"/>
    <w:rsid w:val="4E192B54"/>
    <w:rsid w:val="4E9B0DC8"/>
    <w:rsid w:val="4E9C5945"/>
    <w:rsid w:val="4EC2421A"/>
    <w:rsid w:val="4EC57125"/>
    <w:rsid w:val="4ED97D24"/>
    <w:rsid w:val="4EDD7BFE"/>
    <w:rsid w:val="4F755B68"/>
    <w:rsid w:val="4F7D605C"/>
    <w:rsid w:val="4F944CA0"/>
    <w:rsid w:val="4FBD5F2C"/>
    <w:rsid w:val="4FDB57B8"/>
    <w:rsid w:val="4FE7277E"/>
    <w:rsid w:val="500030A3"/>
    <w:rsid w:val="500C586B"/>
    <w:rsid w:val="503D4008"/>
    <w:rsid w:val="504B20D3"/>
    <w:rsid w:val="504F1465"/>
    <w:rsid w:val="508C6268"/>
    <w:rsid w:val="509E687C"/>
    <w:rsid w:val="50DD517D"/>
    <w:rsid w:val="51010917"/>
    <w:rsid w:val="51152F72"/>
    <w:rsid w:val="515C58BE"/>
    <w:rsid w:val="516F1525"/>
    <w:rsid w:val="518B4CC2"/>
    <w:rsid w:val="51C013EE"/>
    <w:rsid w:val="51D3469F"/>
    <w:rsid w:val="51EE131E"/>
    <w:rsid w:val="51F57370"/>
    <w:rsid w:val="520B1C9E"/>
    <w:rsid w:val="520C2386"/>
    <w:rsid w:val="52680546"/>
    <w:rsid w:val="529079C3"/>
    <w:rsid w:val="52B2236D"/>
    <w:rsid w:val="52B5763D"/>
    <w:rsid w:val="52C77F7E"/>
    <w:rsid w:val="53094B9A"/>
    <w:rsid w:val="53585362"/>
    <w:rsid w:val="537A03AC"/>
    <w:rsid w:val="53C5104C"/>
    <w:rsid w:val="547A7F84"/>
    <w:rsid w:val="548A52AA"/>
    <w:rsid w:val="54C67449"/>
    <w:rsid w:val="54D177E4"/>
    <w:rsid w:val="54F11AD7"/>
    <w:rsid w:val="555971E8"/>
    <w:rsid w:val="557654BF"/>
    <w:rsid w:val="56431955"/>
    <w:rsid w:val="56947918"/>
    <w:rsid w:val="57195215"/>
    <w:rsid w:val="575965E0"/>
    <w:rsid w:val="57660D60"/>
    <w:rsid w:val="57977F88"/>
    <w:rsid w:val="57FE0C45"/>
    <w:rsid w:val="58101249"/>
    <w:rsid w:val="58761840"/>
    <w:rsid w:val="587A5D1D"/>
    <w:rsid w:val="58D2093F"/>
    <w:rsid w:val="58DD5DD2"/>
    <w:rsid w:val="58F2181C"/>
    <w:rsid w:val="59396E2B"/>
    <w:rsid w:val="59DC545C"/>
    <w:rsid w:val="5A3C21AA"/>
    <w:rsid w:val="5A6E64A8"/>
    <w:rsid w:val="5A6F0993"/>
    <w:rsid w:val="5ACD259A"/>
    <w:rsid w:val="5ADA09D1"/>
    <w:rsid w:val="5AE40064"/>
    <w:rsid w:val="5AF13FAD"/>
    <w:rsid w:val="5B0D780B"/>
    <w:rsid w:val="5B131439"/>
    <w:rsid w:val="5B2F1D21"/>
    <w:rsid w:val="5BAD3E9B"/>
    <w:rsid w:val="5BC6533A"/>
    <w:rsid w:val="5BCC306B"/>
    <w:rsid w:val="5CC50437"/>
    <w:rsid w:val="5CF04DBB"/>
    <w:rsid w:val="5D0B3B50"/>
    <w:rsid w:val="5D6F6BC7"/>
    <w:rsid w:val="5D961D86"/>
    <w:rsid w:val="5E0971B2"/>
    <w:rsid w:val="5E3E3AA3"/>
    <w:rsid w:val="5E412125"/>
    <w:rsid w:val="5E642F6E"/>
    <w:rsid w:val="5E6979C9"/>
    <w:rsid w:val="5E8B78B8"/>
    <w:rsid w:val="5F6C7C8F"/>
    <w:rsid w:val="5F740FE4"/>
    <w:rsid w:val="5F8F4933"/>
    <w:rsid w:val="5FC83FB7"/>
    <w:rsid w:val="605F19BD"/>
    <w:rsid w:val="611160A6"/>
    <w:rsid w:val="61545B59"/>
    <w:rsid w:val="61617521"/>
    <w:rsid w:val="61CA745B"/>
    <w:rsid w:val="61E27195"/>
    <w:rsid w:val="62151634"/>
    <w:rsid w:val="622F7C39"/>
    <w:rsid w:val="63F249CD"/>
    <w:rsid w:val="640E5D75"/>
    <w:rsid w:val="646B0B18"/>
    <w:rsid w:val="64D8411E"/>
    <w:rsid w:val="64EE68CC"/>
    <w:rsid w:val="6519534D"/>
    <w:rsid w:val="65353635"/>
    <w:rsid w:val="65370FD7"/>
    <w:rsid w:val="654A26BE"/>
    <w:rsid w:val="655423A6"/>
    <w:rsid w:val="65A64B88"/>
    <w:rsid w:val="65B2093C"/>
    <w:rsid w:val="65BB5782"/>
    <w:rsid w:val="669423D9"/>
    <w:rsid w:val="66EF775F"/>
    <w:rsid w:val="67334D89"/>
    <w:rsid w:val="675E22EC"/>
    <w:rsid w:val="677529E6"/>
    <w:rsid w:val="67A040D7"/>
    <w:rsid w:val="681A5281"/>
    <w:rsid w:val="683F64F0"/>
    <w:rsid w:val="685433A7"/>
    <w:rsid w:val="688772D5"/>
    <w:rsid w:val="6915352F"/>
    <w:rsid w:val="696D025F"/>
    <w:rsid w:val="69A81962"/>
    <w:rsid w:val="69A91EDF"/>
    <w:rsid w:val="69C402F9"/>
    <w:rsid w:val="69D76E36"/>
    <w:rsid w:val="69DC7E04"/>
    <w:rsid w:val="69FE602A"/>
    <w:rsid w:val="6A0973EE"/>
    <w:rsid w:val="6A2A72A1"/>
    <w:rsid w:val="6A5A1933"/>
    <w:rsid w:val="6A992DEC"/>
    <w:rsid w:val="6AB10E40"/>
    <w:rsid w:val="6AD53697"/>
    <w:rsid w:val="6B440509"/>
    <w:rsid w:val="6B957E32"/>
    <w:rsid w:val="6C631BEF"/>
    <w:rsid w:val="6C7600AF"/>
    <w:rsid w:val="6D383001"/>
    <w:rsid w:val="6D641706"/>
    <w:rsid w:val="6D7E479F"/>
    <w:rsid w:val="6DE40E18"/>
    <w:rsid w:val="6DE51ED1"/>
    <w:rsid w:val="6E10643B"/>
    <w:rsid w:val="6E4D0CD3"/>
    <w:rsid w:val="6E593EF1"/>
    <w:rsid w:val="6E66641D"/>
    <w:rsid w:val="6EA95544"/>
    <w:rsid w:val="6EB16055"/>
    <w:rsid w:val="6EC82142"/>
    <w:rsid w:val="6ED63F35"/>
    <w:rsid w:val="6EDB076B"/>
    <w:rsid w:val="6EFA7C5F"/>
    <w:rsid w:val="6F294BF2"/>
    <w:rsid w:val="6F7A37C6"/>
    <w:rsid w:val="6FB968B6"/>
    <w:rsid w:val="70265BE1"/>
    <w:rsid w:val="70D63521"/>
    <w:rsid w:val="71195C1D"/>
    <w:rsid w:val="7127315A"/>
    <w:rsid w:val="712C1253"/>
    <w:rsid w:val="713734BB"/>
    <w:rsid w:val="71815B63"/>
    <w:rsid w:val="71AC414F"/>
    <w:rsid w:val="72172671"/>
    <w:rsid w:val="721D65A2"/>
    <w:rsid w:val="729663BD"/>
    <w:rsid w:val="72C053EC"/>
    <w:rsid w:val="72F11116"/>
    <w:rsid w:val="72FC398F"/>
    <w:rsid w:val="73606C89"/>
    <w:rsid w:val="73983CAF"/>
    <w:rsid w:val="74146B0E"/>
    <w:rsid w:val="745763E2"/>
    <w:rsid w:val="745D2A39"/>
    <w:rsid w:val="74651A38"/>
    <w:rsid w:val="74A21982"/>
    <w:rsid w:val="75425283"/>
    <w:rsid w:val="758735E4"/>
    <w:rsid w:val="75E0330C"/>
    <w:rsid w:val="76127394"/>
    <w:rsid w:val="762F1C58"/>
    <w:rsid w:val="76B6002E"/>
    <w:rsid w:val="76B82948"/>
    <w:rsid w:val="76B87244"/>
    <w:rsid w:val="76BB1776"/>
    <w:rsid w:val="76F235D7"/>
    <w:rsid w:val="77007B23"/>
    <w:rsid w:val="77564A11"/>
    <w:rsid w:val="775F7919"/>
    <w:rsid w:val="77764DCD"/>
    <w:rsid w:val="77A67E23"/>
    <w:rsid w:val="77E94D87"/>
    <w:rsid w:val="78414481"/>
    <w:rsid w:val="790F4A00"/>
    <w:rsid w:val="79B93114"/>
    <w:rsid w:val="7A2E2FA3"/>
    <w:rsid w:val="7A6659FE"/>
    <w:rsid w:val="7AA9713F"/>
    <w:rsid w:val="7B52509C"/>
    <w:rsid w:val="7B6858B6"/>
    <w:rsid w:val="7B791D26"/>
    <w:rsid w:val="7B93336F"/>
    <w:rsid w:val="7C171C68"/>
    <w:rsid w:val="7C775D14"/>
    <w:rsid w:val="7CAC28F7"/>
    <w:rsid w:val="7CFC4937"/>
    <w:rsid w:val="7D203C80"/>
    <w:rsid w:val="7D2B3326"/>
    <w:rsid w:val="7D443DFE"/>
    <w:rsid w:val="7D465CA3"/>
    <w:rsid w:val="7D615493"/>
    <w:rsid w:val="7DB860D3"/>
    <w:rsid w:val="7DF3219D"/>
    <w:rsid w:val="7DF426BB"/>
    <w:rsid w:val="7DF47494"/>
    <w:rsid w:val="7E0F42F5"/>
    <w:rsid w:val="7E524068"/>
    <w:rsid w:val="7E621EA3"/>
    <w:rsid w:val="7E9F585B"/>
    <w:rsid w:val="7F0D53EB"/>
    <w:rsid w:val="7F3A5BA8"/>
    <w:rsid w:val="7F4D23D1"/>
    <w:rsid w:val="7F5018DE"/>
    <w:rsid w:val="7FF05B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0"/>
    <w:qFormat/>
    <w:uiPriority w:val="9"/>
    <w:pPr>
      <w:keepNext/>
      <w:keepLines/>
      <w:spacing w:before="260" w:after="260" w:line="416" w:lineRule="auto"/>
      <w:outlineLvl w:val="1"/>
    </w:pPr>
    <w:rPr>
      <w:rFonts w:ascii="Cambria" w:hAnsi="Cambria"/>
      <w:b/>
      <w:bCs/>
      <w:sz w:val="32"/>
      <w:szCs w:val="32"/>
    </w:rPr>
  </w:style>
  <w:style w:type="paragraph" w:styleId="6">
    <w:name w:val="heading 3"/>
    <w:basedOn w:val="1"/>
    <w:next w:val="1"/>
    <w:link w:val="31"/>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120" w:line="360" w:lineRule="auto"/>
      <w:ind w:left="420" w:leftChars="200" w:firstLine="420"/>
    </w:pPr>
    <w:rPr>
      <w:rFonts w:ascii="宋体"/>
      <w:kern w:val="0"/>
      <w:sz w:val="28"/>
      <w:szCs w:val="20"/>
    </w:rPr>
  </w:style>
  <w:style w:type="paragraph" w:styleId="3">
    <w:name w:val="Body Text Indent"/>
    <w:basedOn w:val="1"/>
    <w:link w:val="37"/>
    <w:unhideWhenUsed/>
    <w:qFormat/>
    <w:uiPriority w:val="99"/>
    <w:pPr>
      <w:ind w:firstLine="630"/>
    </w:pPr>
    <w:rPr>
      <w:rFonts w:ascii="Times New Roman" w:hAnsi="Times New Roman" w:eastAsia="宋体" w:cs="Times New Roman"/>
      <w:sz w:val="32"/>
      <w:lang w:val="en-US" w:eastAsia="zh-CN" w:bidi="ar-SA"/>
    </w:rPr>
  </w:style>
  <w:style w:type="paragraph" w:styleId="7">
    <w:name w:val="Normal Indent"/>
    <w:basedOn w:val="1"/>
    <w:link w:val="35"/>
    <w:qFormat/>
    <w:uiPriority w:val="0"/>
    <w:pPr>
      <w:ind w:firstLine="200" w:firstLineChars="200"/>
    </w:pPr>
    <w:rPr>
      <w:rFonts w:ascii="Calibri" w:hAnsi="Calibri" w:eastAsiaTheme="minorEastAsia" w:cstheme="minorBidi"/>
    </w:rPr>
  </w:style>
  <w:style w:type="paragraph" w:styleId="8">
    <w:name w:val="annotation text"/>
    <w:basedOn w:val="1"/>
    <w:link w:val="32"/>
    <w:unhideWhenUsed/>
    <w:qFormat/>
    <w:uiPriority w:val="99"/>
    <w:pPr>
      <w:jc w:val="left"/>
    </w:pPr>
  </w:style>
  <w:style w:type="paragraph" w:styleId="9">
    <w:name w:val="Body Text"/>
    <w:basedOn w:val="1"/>
    <w:next w:val="1"/>
    <w:link w:val="36"/>
    <w:qFormat/>
    <w:uiPriority w:val="0"/>
    <w:rPr>
      <w:rFonts w:ascii="华文新魏" w:hAnsi="Arial" w:eastAsia="华文新魏"/>
      <w:sz w:val="24"/>
    </w:rPr>
  </w:style>
  <w:style w:type="paragraph" w:styleId="10">
    <w:name w:val="Plain Text"/>
    <w:basedOn w:val="1"/>
    <w:link w:val="38"/>
    <w:qFormat/>
    <w:uiPriority w:val="0"/>
    <w:rPr>
      <w:rFonts w:ascii="宋体" w:hAnsi="Courier New" w:cs="Courier New" w:eastAsiaTheme="minorEastAsia"/>
      <w:szCs w:val="21"/>
    </w:rPr>
  </w:style>
  <w:style w:type="paragraph" w:styleId="11">
    <w:name w:val="Body Text Indent 2"/>
    <w:basedOn w:val="1"/>
    <w:link w:val="39"/>
    <w:unhideWhenUsed/>
    <w:qFormat/>
    <w:uiPriority w:val="99"/>
    <w:pPr>
      <w:spacing w:after="120" w:line="480" w:lineRule="auto"/>
      <w:ind w:left="420" w:leftChars="200"/>
    </w:pPr>
    <w:rPr>
      <w:rFonts w:asciiTheme="minorHAnsi" w:hAnsiTheme="minorHAnsi" w:eastAsiaTheme="minorEastAsia" w:cstheme="minorBidi"/>
    </w:rPr>
  </w:style>
  <w:style w:type="paragraph" w:styleId="12">
    <w:name w:val="Balloon Text"/>
    <w:basedOn w:val="1"/>
    <w:link w:val="40"/>
    <w:qFormat/>
    <w:uiPriority w:val="0"/>
    <w:rPr>
      <w:rFonts w:asciiTheme="minorHAnsi" w:hAnsiTheme="minorHAnsi" w:eastAsiaTheme="minorEastAsia" w:cstheme="minorBidi"/>
      <w:sz w:val="18"/>
      <w:szCs w:val="18"/>
    </w:rPr>
  </w:style>
  <w:style w:type="paragraph" w:styleId="13">
    <w:name w:val="footer"/>
    <w:basedOn w:val="1"/>
    <w:link w:val="4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4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toc 1"/>
    <w:basedOn w:val="1"/>
    <w:next w:val="1"/>
    <w:unhideWhenUsed/>
    <w:qFormat/>
    <w:uiPriority w:val="39"/>
  </w:style>
  <w:style w:type="paragraph" w:styleId="16">
    <w:name w:val="Body Text Indent 3"/>
    <w:basedOn w:val="1"/>
    <w:link w:val="43"/>
    <w:unhideWhenUsed/>
    <w:qFormat/>
    <w:uiPriority w:val="99"/>
    <w:pPr>
      <w:spacing w:after="120"/>
      <w:ind w:left="420" w:leftChars="200"/>
    </w:pPr>
    <w:rPr>
      <w:rFonts w:asciiTheme="minorHAnsi" w:hAnsiTheme="minorHAnsi" w:eastAsiaTheme="minorEastAsia" w:cstheme="minorBidi"/>
      <w:sz w:val="16"/>
      <w:szCs w:val="16"/>
    </w:rPr>
  </w:style>
  <w:style w:type="paragraph" w:styleId="17">
    <w:name w:val="toc 2"/>
    <w:basedOn w:val="1"/>
    <w:next w:val="1"/>
    <w:unhideWhenUsed/>
    <w:qFormat/>
    <w:uiPriority w:val="39"/>
    <w:pPr>
      <w:ind w:left="420" w:leftChars="200"/>
    </w:pPr>
  </w:style>
  <w:style w:type="paragraph" w:styleId="18">
    <w:name w:val="Normal (Web)"/>
    <w:basedOn w:val="1"/>
    <w:unhideWhenUsed/>
    <w:qFormat/>
    <w:uiPriority w:val="0"/>
    <w:pPr>
      <w:widowControl/>
      <w:spacing w:before="100" w:beforeAutospacing="1" w:after="100" w:afterAutospacing="1"/>
      <w:jc w:val="left"/>
    </w:pPr>
    <w:rPr>
      <w:rFonts w:ascii="宋体" w:hAnsi="宋体"/>
      <w:kern w:val="0"/>
      <w:sz w:val="18"/>
      <w:szCs w:val="18"/>
    </w:rPr>
  </w:style>
  <w:style w:type="paragraph" w:styleId="19">
    <w:name w:val="annotation subject"/>
    <w:basedOn w:val="8"/>
    <w:next w:val="8"/>
    <w:link w:val="33"/>
    <w:unhideWhenUsed/>
    <w:qFormat/>
    <w:uiPriority w:val="99"/>
    <w:rPr>
      <w:rFonts w:asciiTheme="minorHAnsi" w:hAnsiTheme="minorHAnsi" w:eastAsiaTheme="minorEastAsia" w:cstheme="minorBidi"/>
      <w:b/>
      <w:bCs/>
    </w:rPr>
  </w:style>
  <w:style w:type="table" w:styleId="21">
    <w:name w:val="Table Grid"/>
    <w:basedOn w:val="20"/>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Hyperlink"/>
    <w:basedOn w:val="22"/>
    <w:unhideWhenUsed/>
    <w:qFormat/>
    <w:uiPriority w:val="99"/>
    <w:rPr>
      <w:color w:val="0000FF"/>
      <w:u w:val="single"/>
    </w:rPr>
  </w:style>
  <w:style w:type="character" w:styleId="25">
    <w:name w:val="annotation reference"/>
    <w:qFormat/>
    <w:uiPriority w:val="0"/>
    <w:rPr>
      <w:sz w:val="21"/>
      <w:szCs w:val="21"/>
    </w:rPr>
  </w:style>
  <w:style w:type="paragraph" w:customStyle="1" w:styleId="2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27">
    <w:name w:val="标题 5（有编号）（绿盟科技）"/>
    <w:basedOn w:val="1"/>
    <w:next w:val="28"/>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28">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9">
    <w:name w:val="标题 1 Char"/>
    <w:basedOn w:val="22"/>
    <w:link w:val="4"/>
    <w:qFormat/>
    <w:uiPriority w:val="0"/>
    <w:rPr>
      <w:rFonts w:ascii="Times New Roman" w:hAnsi="Times New Roman" w:eastAsia="宋体" w:cs="Times New Roman"/>
      <w:b/>
      <w:bCs/>
      <w:kern w:val="44"/>
      <w:sz w:val="44"/>
      <w:szCs w:val="44"/>
    </w:rPr>
  </w:style>
  <w:style w:type="character" w:customStyle="1" w:styleId="30">
    <w:name w:val="标题 2 Char"/>
    <w:basedOn w:val="22"/>
    <w:link w:val="5"/>
    <w:qFormat/>
    <w:uiPriority w:val="9"/>
    <w:rPr>
      <w:rFonts w:ascii="Cambria" w:hAnsi="Cambria" w:eastAsia="宋体" w:cs="Times New Roman"/>
      <w:b/>
      <w:bCs/>
      <w:sz w:val="32"/>
      <w:szCs w:val="32"/>
    </w:rPr>
  </w:style>
  <w:style w:type="character" w:customStyle="1" w:styleId="31">
    <w:name w:val="标题 3 Char"/>
    <w:basedOn w:val="22"/>
    <w:link w:val="6"/>
    <w:qFormat/>
    <w:uiPriority w:val="0"/>
    <w:rPr>
      <w:rFonts w:ascii="Times New Roman" w:hAnsi="Times New Roman" w:eastAsia="宋体" w:cs="Times New Roman"/>
      <w:b/>
      <w:bCs/>
      <w:sz w:val="32"/>
      <w:szCs w:val="32"/>
    </w:rPr>
  </w:style>
  <w:style w:type="character" w:customStyle="1" w:styleId="32">
    <w:name w:val="批注文字 Char1"/>
    <w:basedOn w:val="22"/>
    <w:link w:val="8"/>
    <w:semiHidden/>
    <w:qFormat/>
    <w:uiPriority w:val="99"/>
    <w:rPr>
      <w:rFonts w:ascii="Times New Roman" w:hAnsi="Times New Roman" w:eastAsia="宋体" w:cs="Times New Roman"/>
      <w:szCs w:val="24"/>
    </w:rPr>
  </w:style>
  <w:style w:type="character" w:customStyle="1" w:styleId="33">
    <w:name w:val="批注主题 Char"/>
    <w:basedOn w:val="34"/>
    <w:link w:val="19"/>
    <w:qFormat/>
    <w:uiPriority w:val="99"/>
    <w:rPr>
      <w:b/>
      <w:bCs/>
      <w:kern w:val="2"/>
      <w:sz w:val="21"/>
      <w:szCs w:val="24"/>
    </w:rPr>
  </w:style>
  <w:style w:type="character" w:customStyle="1" w:styleId="34">
    <w:name w:val="批注文字 Char"/>
    <w:qFormat/>
    <w:uiPriority w:val="99"/>
    <w:rPr>
      <w:kern w:val="2"/>
      <w:sz w:val="21"/>
      <w:szCs w:val="24"/>
    </w:rPr>
  </w:style>
  <w:style w:type="character" w:customStyle="1" w:styleId="35">
    <w:name w:val="正文缩进 Char"/>
    <w:link w:val="7"/>
    <w:qFormat/>
    <w:uiPriority w:val="0"/>
    <w:rPr>
      <w:rFonts w:ascii="Calibri" w:hAnsi="Calibri"/>
      <w:szCs w:val="24"/>
    </w:rPr>
  </w:style>
  <w:style w:type="character" w:customStyle="1" w:styleId="36">
    <w:name w:val="正文文本 Char"/>
    <w:basedOn w:val="22"/>
    <w:link w:val="9"/>
    <w:qFormat/>
    <w:uiPriority w:val="0"/>
    <w:rPr>
      <w:rFonts w:ascii="华文新魏" w:hAnsi="Arial" w:eastAsia="华文新魏" w:cs="Times New Roman"/>
      <w:kern w:val="0"/>
      <w:sz w:val="24"/>
      <w:szCs w:val="20"/>
    </w:rPr>
  </w:style>
  <w:style w:type="character" w:customStyle="1" w:styleId="37">
    <w:name w:val="正文文本缩进 Char"/>
    <w:basedOn w:val="22"/>
    <w:link w:val="3"/>
    <w:qFormat/>
    <w:uiPriority w:val="99"/>
    <w:rPr>
      <w:rFonts w:ascii="Times New Roman" w:hAnsi="Times New Roman" w:eastAsia="宋体" w:cs="Times New Roman"/>
      <w:kern w:val="0"/>
      <w:sz w:val="32"/>
      <w:szCs w:val="20"/>
    </w:rPr>
  </w:style>
  <w:style w:type="character" w:customStyle="1" w:styleId="38">
    <w:name w:val="纯文本 Char"/>
    <w:link w:val="10"/>
    <w:qFormat/>
    <w:uiPriority w:val="0"/>
    <w:rPr>
      <w:rFonts w:ascii="宋体" w:hAnsi="Courier New" w:cs="Courier New"/>
      <w:szCs w:val="21"/>
    </w:rPr>
  </w:style>
  <w:style w:type="character" w:customStyle="1" w:styleId="39">
    <w:name w:val="正文文本缩进 2 Char"/>
    <w:link w:val="11"/>
    <w:qFormat/>
    <w:uiPriority w:val="99"/>
    <w:rPr>
      <w:szCs w:val="24"/>
    </w:rPr>
  </w:style>
  <w:style w:type="character" w:customStyle="1" w:styleId="40">
    <w:name w:val="批注框文本 Char"/>
    <w:link w:val="12"/>
    <w:qFormat/>
    <w:uiPriority w:val="0"/>
    <w:rPr>
      <w:sz w:val="18"/>
      <w:szCs w:val="18"/>
    </w:rPr>
  </w:style>
  <w:style w:type="character" w:customStyle="1" w:styleId="41">
    <w:name w:val="页脚 Char"/>
    <w:basedOn w:val="22"/>
    <w:link w:val="13"/>
    <w:qFormat/>
    <w:uiPriority w:val="99"/>
    <w:rPr>
      <w:sz w:val="18"/>
      <w:szCs w:val="18"/>
    </w:rPr>
  </w:style>
  <w:style w:type="character" w:customStyle="1" w:styleId="42">
    <w:name w:val="页眉 Char"/>
    <w:basedOn w:val="22"/>
    <w:link w:val="14"/>
    <w:qFormat/>
    <w:uiPriority w:val="99"/>
    <w:rPr>
      <w:sz w:val="18"/>
      <w:szCs w:val="18"/>
    </w:rPr>
  </w:style>
  <w:style w:type="character" w:customStyle="1" w:styleId="43">
    <w:name w:val="正文文本缩进 3 Char"/>
    <w:link w:val="16"/>
    <w:qFormat/>
    <w:uiPriority w:val="99"/>
    <w:rPr>
      <w:sz w:val="16"/>
      <w:szCs w:val="16"/>
    </w:rPr>
  </w:style>
  <w:style w:type="character" w:customStyle="1" w:styleId="44">
    <w:name w:val="批注主题 Char1"/>
    <w:basedOn w:val="32"/>
    <w:semiHidden/>
    <w:qFormat/>
    <w:uiPriority w:val="99"/>
    <w:rPr>
      <w:rFonts w:ascii="Times New Roman" w:hAnsi="Times New Roman" w:eastAsia="宋体" w:cs="Times New Roman"/>
      <w:b/>
      <w:bCs/>
      <w:szCs w:val="24"/>
    </w:rPr>
  </w:style>
  <w:style w:type="character" w:customStyle="1" w:styleId="45">
    <w:name w:val="正文文本缩进 2 Char1"/>
    <w:basedOn w:val="22"/>
    <w:semiHidden/>
    <w:qFormat/>
    <w:uiPriority w:val="99"/>
    <w:rPr>
      <w:rFonts w:ascii="Times New Roman" w:hAnsi="Times New Roman" w:eastAsia="宋体" w:cs="Times New Roman"/>
      <w:szCs w:val="24"/>
    </w:rPr>
  </w:style>
  <w:style w:type="character" w:customStyle="1" w:styleId="46">
    <w:name w:val="正文文本缩进 3 Char1"/>
    <w:basedOn w:val="22"/>
    <w:semiHidden/>
    <w:qFormat/>
    <w:uiPriority w:val="99"/>
    <w:rPr>
      <w:rFonts w:ascii="Times New Roman" w:hAnsi="Times New Roman" w:eastAsia="宋体" w:cs="Times New Roman"/>
      <w:sz w:val="16"/>
      <w:szCs w:val="16"/>
    </w:rPr>
  </w:style>
  <w:style w:type="character" w:customStyle="1" w:styleId="47">
    <w:name w:val="批注框文本 Char1"/>
    <w:basedOn w:val="22"/>
    <w:semiHidden/>
    <w:qFormat/>
    <w:uiPriority w:val="99"/>
    <w:rPr>
      <w:rFonts w:ascii="Times New Roman" w:hAnsi="Times New Roman" w:eastAsia="宋体" w:cs="Times New Roman"/>
      <w:sz w:val="18"/>
      <w:szCs w:val="18"/>
    </w:rPr>
  </w:style>
  <w:style w:type="character" w:customStyle="1" w:styleId="48">
    <w:name w:val="纯文本 Char1"/>
    <w:basedOn w:val="22"/>
    <w:semiHidden/>
    <w:qFormat/>
    <w:uiPriority w:val="99"/>
    <w:rPr>
      <w:rFonts w:ascii="宋体" w:hAnsi="Courier New" w:eastAsia="宋体" w:cs="Courier New"/>
      <w:szCs w:val="21"/>
    </w:rPr>
  </w:style>
  <w:style w:type="paragraph" w:customStyle="1" w:styleId="49">
    <w:name w:val="标2"/>
    <w:basedOn w:val="1"/>
    <w:qFormat/>
    <w:uiPriority w:val="0"/>
    <w:rPr>
      <w:rFonts w:ascii="楷体_GB2312" w:hAnsi="Calibri" w:eastAsia="楷体_GB2312"/>
      <w:b/>
      <w:sz w:val="30"/>
    </w:rPr>
  </w:style>
  <w:style w:type="paragraph" w:customStyle="1" w:styleId="50">
    <w:name w:val="Char"/>
    <w:basedOn w:val="1"/>
    <w:qFormat/>
    <w:uiPriority w:val="0"/>
    <w:rPr>
      <w:rFonts w:ascii="Tahoma" w:hAnsi="Tahoma"/>
      <w:sz w:val="24"/>
      <w:szCs w:val="20"/>
    </w:rPr>
  </w:style>
  <w:style w:type="paragraph" w:customStyle="1" w:styleId="51">
    <w:name w:val="列出段落1"/>
    <w:basedOn w:val="1"/>
    <w:qFormat/>
    <w:uiPriority w:val="0"/>
    <w:pPr>
      <w:ind w:firstLine="420" w:firstLineChars="200"/>
    </w:pPr>
  </w:style>
  <w:style w:type="paragraph" w:customStyle="1" w:styleId="52">
    <w:name w:val="标3"/>
    <w:basedOn w:val="1"/>
    <w:qFormat/>
    <w:uiPriority w:val="0"/>
    <w:rPr>
      <w:rFonts w:ascii="黑体" w:hAnsi="黑体"/>
      <w:sz w:val="30"/>
    </w:rPr>
  </w:style>
  <w:style w:type="paragraph" w:customStyle="1" w:styleId="53">
    <w:name w:val="正文首行缩进两字符"/>
    <w:basedOn w:val="1"/>
    <w:qFormat/>
    <w:uiPriority w:val="0"/>
    <w:pPr>
      <w:spacing w:line="360" w:lineRule="auto"/>
      <w:ind w:firstLine="200" w:firstLineChars="200"/>
    </w:pPr>
  </w:style>
  <w:style w:type="paragraph" w:customStyle="1" w:styleId="54">
    <w:name w:val="标1"/>
    <w:basedOn w:val="1"/>
    <w:qFormat/>
    <w:uiPriority w:val="0"/>
    <w:pPr>
      <w:ind w:left="750"/>
    </w:pPr>
    <w:rPr>
      <w:rFonts w:ascii="Calibri" w:hAnsi="Calibri"/>
      <w:b/>
      <w:sz w:val="30"/>
    </w:rPr>
  </w:style>
  <w:style w:type="paragraph" w:customStyle="1" w:styleId="55">
    <w:name w:val="a0"/>
    <w:basedOn w:val="1"/>
    <w:qFormat/>
    <w:uiPriority w:val="0"/>
    <w:pPr>
      <w:widowControl/>
      <w:spacing w:before="100" w:beforeAutospacing="1" w:after="100" w:afterAutospacing="1"/>
      <w:jc w:val="left"/>
    </w:pPr>
    <w:rPr>
      <w:rFonts w:ascii="宋体" w:hAnsi="宋体" w:cs="宋体"/>
      <w:kern w:val="0"/>
      <w:sz w:val="24"/>
    </w:rPr>
  </w:style>
  <w:style w:type="paragraph" w:customStyle="1" w:styleId="56">
    <w:name w:val="样式 首行缩进:  2 字符"/>
    <w:basedOn w:val="1"/>
    <w:qFormat/>
    <w:uiPriority w:val="0"/>
    <w:pPr>
      <w:spacing w:line="400" w:lineRule="exact"/>
      <w:ind w:firstLine="200" w:firstLineChars="200"/>
    </w:pPr>
    <w:rPr>
      <w:rFonts w:ascii="Calibri" w:hAnsi="Calibri" w:cs="宋体"/>
      <w:sz w:val="24"/>
    </w:rPr>
  </w:style>
  <w:style w:type="character" w:customStyle="1" w:styleId="57">
    <w:name w:val="font61"/>
    <w:qFormat/>
    <w:uiPriority w:val="0"/>
    <w:rPr>
      <w:rFonts w:hint="eastAsia" w:ascii="宋体" w:hAnsi="宋体" w:eastAsia="宋体" w:cs="宋体"/>
      <w:color w:val="000000"/>
      <w:sz w:val="24"/>
      <w:szCs w:val="24"/>
      <w:u w:val="none"/>
    </w:rPr>
  </w:style>
  <w:style w:type="paragraph" w:customStyle="1" w:styleId="58">
    <w:name w:val="列出段落2"/>
    <w:basedOn w:val="1"/>
    <w:qFormat/>
    <w:uiPriority w:val="99"/>
    <w:pPr>
      <w:ind w:firstLine="420" w:firstLineChars="200"/>
    </w:pPr>
  </w:style>
  <w:style w:type="character" w:customStyle="1" w:styleId="59">
    <w:name w:val="font01"/>
    <w:qFormat/>
    <w:uiPriority w:val="0"/>
    <w:rPr>
      <w:rFonts w:hint="default" w:ascii="Calibri" w:hAnsi="Calibri" w:cs="Calibri"/>
      <w:color w:val="000000"/>
      <w:sz w:val="24"/>
      <w:szCs w:val="24"/>
      <w:u w:val="none"/>
    </w:rPr>
  </w:style>
  <w:style w:type="paragraph" w:customStyle="1" w:styleId="6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1">
    <w:name w:val="GW-正文"/>
    <w:basedOn w:val="1"/>
    <w:qFormat/>
    <w:uiPriority w:val="0"/>
    <w:pPr>
      <w:spacing w:line="360" w:lineRule="auto"/>
      <w:ind w:firstLine="200" w:firstLineChars="200"/>
    </w:pPr>
    <w:rPr>
      <w:rFonts w:eastAsia="仿宋_GB2312"/>
      <w:sz w:val="24"/>
    </w:rPr>
  </w:style>
  <w:style w:type="character" w:customStyle="1" w:styleId="62">
    <w:name w:val="font21"/>
    <w:basedOn w:val="22"/>
    <w:qFormat/>
    <w:uiPriority w:val="0"/>
    <w:rPr>
      <w:rFonts w:hint="eastAsia" w:ascii="宋体" w:hAnsi="宋体" w:eastAsia="宋体" w:cs="宋体"/>
      <w:color w:val="000000"/>
      <w:sz w:val="24"/>
      <w:szCs w:val="24"/>
      <w:u w:val="none"/>
    </w:rPr>
  </w:style>
  <w:style w:type="paragraph" w:customStyle="1" w:styleId="63">
    <w:name w:val="02、首行缩进2字符正文"/>
    <w:basedOn w:val="1"/>
    <w:qFormat/>
    <w:uiPriority w:val="0"/>
    <w:pPr>
      <w:tabs>
        <w:tab w:val="left" w:pos="0"/>
      </w:tabs>
      <w:wordWrap w:val="0"/>
      <w:topLinePunct/>
      <w:ind w:firstLine="480" w:firstLineChars="200"/>
    </w:pPr>
  </w:style>
  <w:style w:type="paragraph" w:customStyle="1" w:styleId="64">
    <w:name w:val="01、普通正文"/>
    <w:basedOn w:val="1"/>
    <w:qFormat/>
    <w:uiPriority w:val="0"/>
    <w:pPr>
      <w:tabs>
        <w:tab w:val="left" w:pos="0"/>
      </w:tabs>
      <w:wordWrap w:val="0"/>
      <w:topLinePunct/>
    </w:pPr>
    <w:rPr>
      <w:snapToGrid w:val="0"/>
    </w:rPr>
  </w:style>
  <w:style w:type="paragraph" w:customStyle="1" w:styleId="65">
    <w:name w:val="21、合同二级标题序号"/>
    <w:basedOn w:val="64"/>
    <w:qFormat/>
    <w:uiPriority w:val="0"/>
    <w:pPr>
      <w:numPr>
        <w:ilvl w:val="0"/>
        <w:numId w:val="2"/>
      </w:numPr>
      <w:ind w:firstLine="803" w:firstLineChars="200"/>
      <w:outlineLvl w:val="1"/>
    </w:pPr>
    <w:rPr>
      <w:b/>
    </w:rPr>
  </w:style>
  <w:style w:type="paragraph" w:customStyle="1" w:styleId="66">
    <w:name w:val="05、“(一)”正文三级标题"/>
    <w:basedOn w:val="1"/>
    <w:link w:val="67"/>
    <w:qFormat/>
    <w:uiPriority w:val="0"/>
    <w:pPr>
      <w:numPr>
        <w:ilvl w:val="1"/>
        <w:numId w:val="3"/>
      </w:numPr>
      <w:tabs>
        <w:tab w:val="left" w:pos="0"/>
      </w:tabs>
      <w:wordWrap w:val="0"/>
      <w:topLinePunct/>
      <w:ind w:firstLine="803" w:firstLineChars="200"/>
    </w:pPr>
  </w:style>
  <w:style w:type="character" w:customStyle="1" w:styleId="67">
    <w:name w:val="05、“(一)”正文三级标题 Char"/>
    <w:link w:val="66"/>
    <w:qFormat/>
    <w:uiPriority w:val="0"/>
  </w:style>
  <w:style w:type="paragraph" w:customStyle="1" w:styleId="68">
    <w:name w:val="00、封面正文(与其他内容无关的格式)"/>
    <w:basedOn w:val="1"/>
    <w:qFormat/>
    <w:uiPriority w:val="0"/>
    <w:pPr>
      <w:tabs>
        <w:tab w:val="left" w:pos="0"/>
      </w:tabs>
    </w:pPr>
  </w:style>
  <w:style w:type="paragraph" w:customStyle="1" w:styleId="6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0">
    <w:name w:val="表格内容"/>
    <w:basedOn w:val="1"/>
    <w:qFormat/>
    <w:uiPriority w:val="2"/>
    <w:pPr>
      <w:jc w:val="center"/>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AB63FD-2A18-4652-9321-B37F7336365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2291</Words>
  <Characters>13065</Characters>
  <Lines>108</Lines>
  <Paragraphs>30</Paragraphs>
  <TotalTime>339</TotalTime>
  <ScaleCrop>false</ScaleCrop>
  <LinksUpToDate>false</LinksUpToDate>
  <CharactersWithSpaces>15326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2017-05-08T07:38:00Z</dcterms:created>
  <dc:creator>微软用户</dc:creator>
  <cp:lastModifiedBy>白小白</cp:lastModifiedBy>
  <cp:lastPrinted>2021-02-08T02:09:00Z</cp:lastPrinted>
  <dcterms:modified xsi:type="dcterms:W3CDTF">2021-02-08T08:02:59Z</dcterms:modified>
  <cp:revision>436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